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EA745">
      <w:pPr>
        <w:snapToGrid w:val="0"/>
        <w:spacing w:line="560" w:lineRule="exact"/>
        <w:ind w:right="-27" w:firstLine="0" w:firstLineChars="0"/>
        <w:jc w:val="center"/>
        <w:textAlignment w:val="bottom"/>
        <w:rPr>
          <w:rFonts w:hint="eastAsia" w:ascii="宋体" w:hAnsi="宋体" w:eastAsia="方正小标宋简体"/>
          <w:b/>
          <w:sz w:val="44"/>
        </w:rPr>
      </w:pPr>
      <w:r>
        <w:rPr>
          <w:rFonts w:hint="eastAsia" w:ascii="方正小标宋简体" w:hAnsi="方正小标宋简体" w:eastAsia="方正小标宋简体" w:cs="方正小标宋简体"/>
          <w:bCs/>
          <w:sz w:val="44"/>
        </w:rPr>
        <w:t xml:space="preserve"> 榆林市主要能源及能化产品价格监测情况</w:t>
      </w:r>
    </w:p>
    <w:p w14:paraId="3373C906">
      <w:pPr>
        <w:snapToGrid w:val="0"/>
        <w:ind w:right="-27" w:firstLine="0" w:firstLineChars="0"/>
        <w:jc w:val="center"/>
        <w:textAlignment w:val="bottom"/>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第</w:t>
      </w:r>
      <w:r>
        <w:rPr>
          <w:rFonts w:hint="eastAsia" w:ascii="楷体_GB2312" w:hAnsi="楷体_GB2312" w:eastAsia="楷体_GB2312" w:cs="楷体_GB2312"/>
          <w:b/>
          <w:sz w:val="32"/>
          <w:szCs w:val="32"/>
          <w:lang w:val="en-US" w:eastAsia="zh-CN"/>
        </w:rPr>
        <w:t>七</w:t>
      </w:r>
      <w:r>
        <w:rPr>
          <w:rFonts w:hint="eastAsia" w:ascii="楷体_GB2312" w:hAnsi="楷体_GB2312" w:eastAsia="楷体_GB2312" w:cs="楷体_GB2312"/>
          <w:b/>
          <w:sz w:val="32"/>
          <w:szCs w:val="32"/>
        </w:rPr>
        <w:t>期</w:t>
      </w:r>
    </w:p>
    <w:p w14:paraId="7BF3C58A">
      <w:pPr>
        <w:snapToGrid w:val="0"/>
        <w:ind w:right="-27" w:firstLine="0" w:firstLineChars="0"/>
        <w:jc w:val="center"/>
        <w:textAlignment w:val="bottom"/>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（总第12</w:t>
      </w:r>
      <w:r>
        <w:rPr>
          <w:rFonts w:hint="eastAsia" w:ascii="楷体_GB2312" w:hAnsi="楷体_GB2312" w:eastAsia="楷体_GB2312" w:cs="楷体_GB2312"/>
          <w:b/>
          <w:sz w:val="32"/>
          <w:szCs w:val="32"/>
          <w:lang w:val="en-US" w:eastAsia="zh-CN"/>
        </w:rPr>
        <w:t>7</w:t>
      </w:r>
      <w:r>
        <w:rPr>
          <w:rFonts w:hint="eastAsia" w:ascii="楷体_GB2312" w:hAnsi="楷体_GB2312" w:eastAsia="楷体_GB2312" w:cs="楷体_GB2312"/>
          <w:b/>
          <w:sz w:val="32"/>
          <w:szCs w:val="32"/>
        </w:rPr>
        <w:t xml:space="preserve">期） </w:t>
      </w:r>
    </w:p>
    <w:p w14:paraId="51EE4195">
      <w:pPr>
        <w:pStyle w:val="2"/>
        <w:ind w:firstLine="400"/>
      </w:pPr>
    </w:p>
    <w:p w14:paraId="3C56D41C">
      <w:pPr>
        <w:snapToGrid w:val="0"/>
        <w:spacing w:line="360" w:lineRule="auto"/>
        <w:ind w:firstLine="640"/>
        <w:textAlignment w:val="baseline"/>
        <w:rPr>
          <w:rFonts w:hint="eastAsia"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lang w:val="en-US" w:eastAsia="zh-CN"/>
        </w:rPr>
        <w:t>7</w:t>
      </w:r>
      <w:r>
        <w:rPr>
          <w:rFonts w:hint="eastAsia" w:ascii="仿宋_GB2312" w:hAnsi="仿宋_GB2312" w:eastAsia="仿宋_GB2312" w:cs="仿宋_GB2312"/>
          <w:bCs/>
          <w:color w:val="000000"/>
          <w:sz w:val="32"/>
          <w:szCs w:val="32"/>
          <w:shd w:val="clear" w:color="auto" w:fill="FFFFFF"/>
        </w:rPr>
        <w:t>月份监测的16种能化产品价格同比2升14降、环比</w:t>
      </w:r>
      <w:r>
        <w:rPr>
          <w:rFonts w:hint="eastAsia" w:ascii="仿宋_GB2312" w:hAnsi="仿宋_GB2312" w:eastAsia="仿宋_GB2312" w:cs="仿宋_GB2312"/>
          <w:bCs/>
          <w:color w:val="000000"/>
          <w:sz w:val="32"/>
          <w:szCs w:val="32"/>
          <w:shd w:val="clear" w:color="auto" w:fill="FFFFFF"/>
          <w:lang w:val="en-US" w:eastAsia="zh-CN"/>
        </w:rPr>
        <w:t>9</w:t>
      </w:r>
      <w:r>
        <w:rPr>
          <w:rFonts w:hint="eastAsia" w:ascii="仿宋_GB2312" w:hAnsi="仿宋_GB2312" w:eastAsia="仿宋_GB2312" w:cs="仿宋_GB2312"/>
          <w:bCs/>
          <w:color w:val="000000"/>
          <w:sz w:val="32"/>
          <w:szCs w:val="32"/>
          <w:shd w:val="clear" w:color="auto" w:fill="FFFFFF"/>
        </w:rPr>
        <w:t>升1平</w:t>
      </w:r>
      <w:r>
        <w:rPr>
          <w:rFonts w:hint="eastAsia" w:ascii="仿宋_GB2312" w:hAnsi="仿宋_GB2312" w:eastAsia="仿宋_GB2312" w:cs="仿宋_GB2312"/>
          <w:bCs/>
          <w:color w:val="000000"/>
          <w:sz w:val="32"/>
          <w:szCs w:val="32"/>
          <w:shd w:val="clear" w:color="auto" w:fill="FFFFFF"/>
          <w:lang w:val="en-US" w:eastAsia="zh-CN"/>
        </w:rPr>
        <w:t>6</w:t>
      </w:r>
      <w:r>
        <w:rPr>
          <w:rFonts w:hint="eastAsia" w:ascii="仿宋_GB2312" w:hAnsi="仿宋_GB2312" w:eastAsia="仿宋_GB2312" w:cs="仿宋_GB2312"/>
          <w:bCs/>
          <w:color w:val="000000"/>
          <w:sz w:val="32"/>
          <w:szCs w:val="32"/>
          <w:shd w:val="clear" w:color="auto" w:fill="FFFFFF"/>
        </w:rPr>
        <w:t>降。</w:t>
      </w:r>
      <w:r>
        <w:rPr>
          <w:rFonts w:hint="eastAsia" w:ascii="仿宋_GB2312" w:hAnsi="仿宋_GB2312" w:eastAsia="仿宋_GB2312" w:cs="仿宋_GB2312"/>
          <w:b/>
          <w:color w:val="000000"/>
          <w:sz w:val="32"/>
          <w:szCs w:val="32"/>
          <w:shd w:val="clear" w:color="auto" w:fill="FFFFFF"/>
        </w:rPr>
        <w:t xml:space="preserve">监测情况及原因简析如下。 </w:t>
      </w:r>
    </w:p>
    <w:p w14:paraId="6A140DFC">
      <w:pPr>
        <w:snapToGrid w:val="0"/>
        <w:spacing w:line="560" w:lineRule="exact"/>
        <w:ind w:firstLine="640"/>
        <w:jc w:val="both"/>
        <w:textAlignment w:val="baseline"/>
      </w:pPr>
      <w:r>
        <w:rPr>
          <w:rFonts w:hint="eastAsia" w:ascii="仿宋_GB2312" w:hAnsi="仿宋_GB2312" w:eastAsia="仿宋_GB2312" w:cs="仿宋_GB2312"/>
          <w:bCs/>
          <w:color w:val="000000"/>
          <w:sz w:val="32"/>
          <w:szCs w:val="32"/>
          <w:shd w:val="clear" w:color="auto" w:fill="FFFFFF"/>
          <w:lang w:val="en-US" w:eastAsia="zh-CN"/>
        </w:rPr>
        <w:t>7</w:t>
      </w:r>
      <w:r>
        <w:rPr>
          <w:rFonts w:hint="eastAsia" w:ascii="仿宋_GB2312" w:hAnsi="仿宋_GB2312" w:eastAsia="仿宋_GB2312" w:cs="仿宋_GB2312"/>
          <w:bCs/>
          <w:color w:val="000000"/>
          <w:sz w:val="32"/>
          <w:szCs w:val="32"/>
          <w:shd w:val="clear" w:color="auto" w:fill="FFFFFF"/>
        </w:rPr>
        <w:t>月份我市动力煤市场</w:t>
      </w:r>
      <w:r>
        <w:rPr>
          <w:rFonts w:hint="eastAsia" w:ascii="仿宋_GB2312" w:hAnsi="仿宋_GB2312" w:eastAsia="仿宋_GB2312" w:cs="仿宋_GB2312"/>
          <w:bCs/>
          <w:color w:val="000000"/>
          <w:sz w:val="32"/>
          <w:szCs w:val="32"/>
          <w:shd w:val="clear" w:color="auto" w:fill="FFFFFF"/>
          <w:lang w:val="en-US" w:eastAsia="zh-CN"/>
        </w:rPr>
        <w:t>多有上行</w:t>
      </w:r>
      <w:r>
        <w:rPr>
          <w:rFonts w:hint="eastAsia" w:ascii="仿宋_GB2312" w:hAnsi="仿宋_GB2312" w:eastAsia="仿宋_GB2312" w:cs="仿宋_GB2312"/>
          <w:bCs/>
          <w:color w:val="000000"/>
          <w:sz w:val="32"/>
          <w:szCs w:val="32"/>
          <w:shd w:val="clear" w:color="auto" w:fill="FFFFFF"/>
        </w:rPr>
        <w:t>，</w:t>
      </w:r>
      <w:r>
        <w:rPr>
          <w:rFonts w:hint="eastAsia" w:ascii="仿宋_GB2312" w:hAnsi="仿宋_GB2312" w:eastAsia="仿宋_GB2312" w:cs="仿宋_GB2312"/>
          <w:bCs/>
          <w:color w:val="000000"/>
          <w:sz w:val="32"/>
          <w:szCs w:val="32"/>
          <w:shd w:val="clear" w:color="auto" w:fill="FFFFFF"/>
          <w:lang w:val="en-US" w:eastAsia="zh-CN"/>
        </w:rPr>
        <w:t>市场情绪有所升温</w:t>
      </w:r>
      <w:r>
        <w:rPr>
          <w:rFonts w:hint="eastAsia" w:ascii="仿宋_GB2312" w:hAnsi="仿宋_GB2312" w:eastAsia="仿宋_GB2312" w:cs="仿宋_GB2312"/>
          <w:bCs/>
          <w:color w:val="000000"/>
          <w:sz w:val="32"/>
          <w:szCs w:val="32"/>
          <w:shd w:val="clear" w:color="auto" w:fill="FFFFFF"/>
          <w:lang w:eastAsia="zh-CN"/>
        </w:rPr>
        <w:t>，</w:t>
      </w:r>
      <w:r>
        <w:rPr>
          <w:rFonts w:hint="eastAsia" w:ascii="仿宋_GB2312" w:hAnsi="仿宋_GB2312" w:eastAsia="仿宋_GB2312" w:cs="仿宋_GB2312"/>
          <w:bCs/>
          <w:color w:val="000000"/>
          <w:sz w:val="32"/>
          <w:szCs w:val="32"/>
          <w:shd w:val="clear" w:color="auto" w:fill="FFFFFF"/>
        </w:rPr>
        <w:t>煤价重心</w:t>
      </w:r>
      <w:r>
        <w:rPr>
          <w:rFonts w:hint="eastAsia" w:ascii="仿宋_GB2312" w:hAnsi="仿宋_GB2312" w:eastAsia="仿宋_GB2312" w:cs="仿宋_GB2312"/>
          <w:bCs/>
          <w:color w:val="000000"/>
          <w:sz w:val="32"/>
          <w:szCs w:val="32"/>
          <w:shd w:val="clear" w:color="auto" w:fill="FFFFFF"/>
          <w:lang w:val="en-US" w:eastAsia="zh-CN"/>
        </w:rPr>
        <w:t>小幅上行</w:t>
      </w:r>
      <w:r>
        <w:rPr>
          <w:rFonts w:hint="eastAsia" w:ascii="仿宋_GB2312" w:hAnsi="仿宋_GB2312" w:eastAsia="仿宋_GB2312" w:cs="仿宋_GB2312"/>
          <w:bCs/>
          <w:color w:val="000000"/>
          <w:sz w:val="32"/>
          <w:szCs w:val="32"/>
          <w:shd w:val="clear" w:color="auto" w:fill="FFFFFF"/>
        </w:rPr>
        <w:t>，坑口混煤均价</w:t>
      </w:r>
      <w:r>
        <w:rPr>
          <w:rFonts w:hint="eastAsia" w:ascii="仿宋_GB2312" w:hAnsi="仿宋_GB2312" w:eastAsia="仿宋_GB2312" w:cs="仿宋_GB2312"/>
          <w:bCs/>
          <w:color w:val="000000"/>
          <w:sz w:val="32"/>
          <w:szCs w:val="32"/>
          <w:shd w:val="clear" w:color="auto" w:fill="FFFFFF"/>
          <w:lang w:val="en-US" w:eastAsia="zh-CN"/>
        </w:rPr>
        <w:t>481</w:t>
      </w:r>
      <w:r>
        <w:rPr>
          <w:rFonts w:hint="eastAsia" w:ascii="仿宋_GB2312" w:hAnsi="仿宋_GB2312" w:eastAsia="仿宋_GB2312" w:cs="仿宋_GB2312"/>
          <w:bCs/>
          <w:color w:val="000000"/>
          <w:sz w:val="32"/>
          <w:szCs w:val="32"/>
          <w:shd w:val="clear" w:color="auto" w:fill="FFFFFF"/>
        </w:rPr>
        <w:t>元/吨，环比</w:t>
      </w:r>
      <w:r>
        <w:rPr>
          <w:rFonts w:hint="eastAsia" w:ascii="仿宋_GB2312" w:hAnsi="仿宋_GB2312" w:eastAsia="仿宋_GB2312" w:cs="仿宋_GB2312"/>
          <w:bCs/>
          <w:color w:val="000000"/>
          <w:sz w:val="32"/>
          <w:szCs w:val="32"/>
          <w:shd w:val="clear" w:color="auto" w:fill="FFFFFF"/>
          <w:lang w:val="en-US" w:eastAsia="zh-CN"/>
        </w:rPr>
        <w:t>上涨4.57</w:t>
      </w:r>
      <w:r>
        <w:rPr>
          <w:rFonts w:hint="eastAsia" w:ascii="仿宋_GB2312" w:hAnsi="仿宋_GB2312" w:eastAsia="仿宋_GB2312" w:cs="仿宋_GB2312"/>
          <w:bCs/>
          <w:color w:val="000000"/>
          <w:sz w:val="32"/>
          <w:szCs w:val="32"/>
          <w:shd w:val="clear" w:color="auto" w:fill="FFFFFF"/>
        </w:rPr>
        <w:t>%。</w:t>
      </w:r>
      <w:r>
        <w:rPr>
          <w:rFonts w:hint="eastAsia" w:ascii="仿宋_GB2312" w:hAnsi="仿宋_GB2312" w:eastAsia="仿宋_GB2312" w:cs="仿宋_GB2312"/>
          <w:b/>
          <w:color w:val="000000"/>
          <w:sz w:val="32"/>
          <w:szCs w:val="32"/>
          <w:shd w:val="clear" w:color="auto" w:fill="FFFFFF"/>
        </w:rPr>
        <w:t>主要原因分析：一是产地方面，</w:t>
      </w:r>
      <w:r>
        <w:rPr>
          <w:rFonts w:hint="eastAsia" w:ascii="仿宋_GB2312" w:hAnsi="仿宋_GB2312" w:eastAsia="仿宋_GB2312" w:cs="仿宋_GB2312"/>
          <w:bCs/>
          <w:color w:val="000000"/>
          <w:sz w:val="32"/>
          <w:szCs w:val="32"/>
          <w:shd w:val="clear" w:color="auto" w:fill="FFFFFF"/>
        </w:rPr>
        <w:t>本月产地</w:t>
      </w:r>
      <w:r>
        <w:rPr>
          <w:rFonts w:hint="eastAsia" w:ascii="仿宋_GB2312" w:hAnsi="仿宋_GB2312" w:eastAsia="仿宋_GB2312" w:cs="仿宋_GB2312"/>
          <w:bCs/>
          <w:color w:val="000000"/>
          <w:sz w:val="32"/>
          <w:szCs w:val="32"/>
          <w:shd w:val="clear" w:color="auto" w:fill="FFFFFF"/>
          <w:lang w:val="en-US" w:eastAsia="zh-CN"/>
        </w:rPr>
        <w:t>多数</w:t>
      </w:r>
      <w:r>
        <w:rPr>
          <w:rFonts w:hint="eastAsia" w:ascii="仿宋_GB2312" w:hAnsi="仿宋_GB2312" w:eastAsia="仿宋_GB2312" w:cs="仿宋_GB2312"/>
          <w:bCs/>
          <w:color w:val="000000"/>
          <w:sz w:val="32"/>
          <w:szCs w:val="32"/>
          <w:shd w:val="clear" w:color="auto" w:fill="FFFFFF"/>
        </w:rPr>
        <w:t>煤矿</w:t>
      </w:r>
      <w:r>
        <w:rPr>
          <w:rFonts w:hint="eastAsia" w:ascii="仿宋_GB2312" w:hAnsi="仿宋_GB2312" w:eastAsia="仿宋_GB2312" w:cs="仿宋_GB2312"/>
          <w:bCs/>
          <w:color w:val="000000"/>
          <w:sz w:val="32"/>
          <w:szCs w:val="32"/>
          <w:shd w:val="clear" w:color="auto" w:fill="FFFFFF"/>
          <w:lang w:val="en-US" w:eastAsia="zh-CN"/>
        </w:rPr>
        <w:t>保持平稳生产</w:t>
      </w:r>
      <w:r>
        <w:rPr>
          <w:rFonts w:hint="eastAsia" w:ascii="仿宋_GB2312" w:hAnsi="仿宋_GB2312" w:eastAsia="仿宋_GB2312" w:cs="仿宋_GB2312"/>
          <w:bCs/>
          <w:color w:val="000000"/>
          <w:sz w:val="32"/>
          <w:szCs w:val="32"/>
          <w:shd w:val="clear" w:color="auto" w:fill="FFFFFF"/>
          <w:lang w:eastAsia="zh-CN"/>
        </w:rPr>
        <w:t>，</w:t>
      </w:r>
      <w:r>
        <w:rPr>
          <w:rFonts w:hint="eastAsia" w:ascii="仿宋_GB2312" w:hAnsi="仿宋_GB2312" w:eastAsia="仿宋_GB2312" w:cs="仿宋_GB2312"/>
          <w:bCs/>
          <w:color w:val="000000"/>
          <w:sz w:val="32"/>
          <w:szCs w:val="32"/>
          <w:shd w:val="clear" w:color="auto" w:fill="FFFFFF"/>
          <w:lang w:val="en-US" w:eastAsia="zh-CN"/>
        </w:rPr>
        <w:t>随着降雨天气影响消退，部分露天煤矿陆续恢复正常产销，仅局部地区开展设备检修或搬家倒面等工作煤矿略有增加</w:t>
      </w:r>
      <w:r>
        <w:rPr>
          <w:rFonts w:hint="eastAsia" w:ascii="仿宋_GB2312" w:hAnsi="仿宋_GB2312" w:eastAsia="仿宋_GB2312" w:cs="仿宋_GB2312"/>
          <w:bCs/>
          <w:color w:val="000000"/>
          <w:sz w:val="32"/>
          <w:szCs w:val="32"/>
          <w:shd w:val="clear" w:color="auto" w:fill="FFFFFF"/>
        </w:rPr>
        <w:t>;下游用户</w:t>
      </w:r>
      <w:r>
        <w:rPr>
          <w:rFonts w:hint="eastAsia" w:ascii="仿宋_GB2312" w:hAnsi="仿宋_GB2312" w:eastAsia="仿宋_GB2312" w:cs="仿宋_GB2312"/>
          <w:bCs/>
          <w:color w:val="000000"/>
          <w:sz w:val="32"/>
          <w:szCs w:val="32"/>
          <w:shd w:val="clear" w:color="auto" w:fill="FFFFFF"/>
          <w:lang w:val="en-US" w:eastAsia="zh-CN"/>
        </w:rPr>
        <w:t>刚需表现良好</w:t>
      </w:r>
      <w:r>
        <w:rPr>
          <w:rFonts w:hint="eastAsia" w:ascii="仿宋_GB2312" w:hAnsi="仿宋_GB2312" w:eastAsia="仿宋_GB2312" w:cs="仿宋_GB2312"/>
          <w:bCs/>
          <w:color w:val="000000"/>
          <w:sz w:val="32"/>
          <w:szCs w:val="32"/>
          <w:shd w:val="clear" w:color="auto" w:fill="FFFFFF"/>
        </w:rPr>
        <w:t>,</w:t>
      </w:r>
      <w:r>
        <w:rPr>
          <w:rFonts w:hint="eastAsia" w:ascii="仿宋_GB2312" w:hAnsi="仿宋_GB2312" w:eastAsia="仿宋_GB2312" w:cs="仿宋_GB2312"/>
          <w:bCs/>
          <w:color w:val="000000"/>
          <w:sz w:val="32"/>
          <w:szCs w:val="32"/>
          <w:shd w:val="clear" w:color="auto" w:fill="FFFFFF"/>
          <w:lang w:val="en-US" w:eastAsia="zh-CN"/>
        </w:rPr>
        <w:t>持续高温天气带动电厂日耗上升，部分采购市场煤需求有所释放，非电终端刚需节奏仍较为稳定，个别库存偏低用户采购积极性稍有提升，而部分站台及煤场用户则受大型煤企及港口市场持续上行影响采购需求有所放量。到矿拉运车辆增加，煤矿末煤销售顺畅，竞拍煤矿也多溢价成交，坑口价格重心整体上行。</w:t>
      </w:r>
      <w:r>
        <w:rPr>
          <w:rFonts w:hint="eastAsia" w:ascii="仿宋_GB2312" w:hAnsi="仿宋_GB2312" w:eastAsia="仿宋_GB2312" w:cs="仿宋_GB2312"/>
          <w:b/>
          <w:color w:val="000000"/>
          <w:sz w:val="32"/>
          <w:szCs w:val="32"/>
          <w:shd w:val="clear" w:color="auto" w:fill="FFFFFF"/>
        </w:rPr>
        <w:t>二是港口方面，</w:t>
      </w:r>
      <w:r>
        <w:rPr>
          <w:rFonts w:hint="eastAsia" w:ascii="仿宋_GB2312" w:hAnsi="仿宋_GB2312" w:eastAsia="仿宋_GB2312" w:cs="仿宋_GB2312"/>
          <w:bCs/>
          <w:color w:val="000000"/>
          <w:sz w:val="32"/>
          <w:szCs w:val="32"/>
          <w:shd w:val="clear" w:color="auto" w:fill="FFFFFF"/>
        </w:rPr>
        <w:t>本月北方港口动力煤价格</w:t>
      </w:r>
      <w:r>
        <w:rPr>
          <w:rFonts w:hint="eastAsia" w:ascii="仿宋_GB2312" w:hAnsi="仿宋_GB2312" w:eastAsia="仿宋_GB2312" w:cs="仿宋_GB2312"/>
          <w:bCs/>
          <w:color w:val="000000"/>
          <w:sz w:val="32"/>
          <w:szCs w:val="32"/>
          <w:shd w:val="clear" w:color="auto" w:fill="FFFFFF"/>
          <w:lang w:val="en-US" w:eastAsia="zh-CN"/>
        </w:rPr>
        <w:t>整体保持稳中上行，但</w:t>
      </w:r>
      <w:r>
        <w:rPr>
          <w:rFonts w:hint="eastAsia" w:ascii="仿宋_GB2312" w:hAnsi="仿宋_GB2312" w:eastAsia="仿宋_GB2312" w:cs="仿宋_GB2312"/>
          <w:bCs/>
          <w:color w:val="000000"/>
          <w:sz w:val="32"/>
          <w:szCs w:val="32"/>
          <w:shd w:val="clear" w:color="auto" w:fill="FFFFFF"/>
        </w:rPr>
        <w:t>市场</w:t>
      </w:r>
      <w:r>
        <w:rPr>
          <w:rFonts w:hint="eastAsia" w:ascii="仿宋_GB2312" w:hAnsi="仿宋_GB2312" w:eastAsia="仿宋_GB2312" w:cs="仿宋_GB2312"/>
          <w:bCs/>
          <w:color w:val="000000"/>
          <w:sz w:val="32"/>
          <w:szCs w:val="32"/>
          <w:shd w:val="clear" w:color="auto" w:fill="FFFFFF"/>
          <w:lang w:val="en-US" w:eastAsia="zh-CN"/>
        </w:rPr>
        <w:t>实际成交仍未放量</w:t>
      </w:r>
      <w:r>
        <w:rPr>
          <w:rFonts w:hint="eastAsia" w:ascii="仿宋_GB2312" w:hAnsi="仿宋_GB2312" w:eastAsia="仿宋_GB2312" w:cs="仿宋_GB2312"/>
          <w:bCs/>
          <w:color w:val="000000"/>
          <w:sz w:val="32"/>
          <w:szCs w:val="32"/>
          <w:shd w:val="clear" w:color="auto" w:fill="FFFFFF"/>
        </w:rPr>
        <w:t>。</w:t>
      </w:r>
      <w:r>
        <w:rPr>
          <w:rFonts w:hint="eastAsia" w:ascii="仿宋_GB2312" w:hAnsi="仿宋_GB2312" w:eastAsia="仿宋_GB2312" w:cs="仿宋_GB2312"/>
          <w:bCs/>
          <w:color w:val="000000"/>
          <w:sz w:val="32"/>
          <w:szCs w:val="32"/>
          <w:shd w:val="clear" w:color="auto" w:fill="FFFFFF"/>
          <w:lang w:val="en-US" w:eastAsia="zh-CN"/>
        </w:rPr>
        <w:t>港口煤炭库存持续下滑，中低热值资源结构性短缺问题未有改善，同时发运成本支撑较强，叠加高温天气提振贸易商情绪</w:t>
      </w:r>
      <w:r>
        <w:rPr>
          <w:rFonts w:hint="eastAsia" w:ascii="仿宋_GB2312" w:hAnsi="仿宋_GB2312" w:eastAsia="仿宋_GB2312" w:cs="仿宋_GB2312"/>
          <w:bCs/>
          <w:color w:val="000000"/>
          <w:sz w:val="32"/>
          <w:szCs w:val="32"/>
          <w:shd w:val="clear" w:color="auto" w:fill="FFFFFF"/>
          <w:lang w:eastAsia="zh-CN"/>
        </w:rPr>
        <w:t>，</w:t>
      </w:r>
      <w:r>
        <w:rPr>
          <w:rFonts w:hint="eastAsia" w:ascii="仿宋_GB2312" w:hAnsi="仿宋_GB2312" w:eastAsia="仿宋_GB2312" w:cs="仿宋_GB2312"/>
          <w:bCs/>
          <w:color w:val="000000"/>
          <w:sz w:val="32"/>
          <w:szCs w:val="32"/>
          <w:shd w:val="clear" w:color="auto" w:fill="FFFFFF"/>
        </w:rPr>
        <w:t>港口贸易商</w:t>
      </w:r>
      <w:r>
        <w:rPr>
          <w:rFonts w:hint="eastAsia" w:ascii="仿宋_GB2312" w:hAnsi="仿宋_GB2312" w:eastAsia="仿宋_GB2312" w:cs="仿宋_GB2312"/>
          <w:bCs/>
          <w:color w:val="000000"/>
          <w:sz w:val="32"/>
          <w:szCs w:val="32"/>
          <w:shd w:val="clear" w:color="auto" w:fill="FFFFFF"/>
          <w:lang w:val="en-US" w:eastAsia="zh-CN"/>
        </w:rPr>
        <w:t>多报价维持坚挺，并延续小幅上行节奏；下游用户采购则多继续按需进行，刚需仍有压价还盘意向，但对高价接受度不高，且有部分需求转移至性价比优势更明显的进口资源，市场实际成交表现并不理想</w:t>
      </w:r>
      <w:r>
        <w:rPr>
          <w:rFonts w:hint="eastAsia" w:ascii="仿宋_GB2312" w:hAnsi="仿宋_GB2312" w:eastAsia="仿宋_GB2312" w:cs="仿宋_GB2312"/>
          <w:bCs/>
          <w:color w:val="000000"/>
          <w:sz w:val="32"/>
          <w:szCs w:val="32"/>
          <w:shd w:val="clear" w:color="auto" w:fill="FFFFFF"/>
        </w:rPr>
        <w:t>。</w:t>
      </w:r>
      <w:r>
        <w:rPr>
          <w:rFonts w:hint="eastAsia" w:ascii="仿宋_GB2312" w:hAnsi="仿宋_GB2312" w:eastAsia="仿宋_GB2312" w:cs="仿宋_GB2312"/>
          <w:b/>
          <w:color w:val="000000"/>
          <w:sz w:val="32"/>
          <w:szCs w:val="32"/>
          <w:shd w:val="clear" w:color="auto" w:fill="FFFFFF"/>
        </w:rPr>
        <w:t>三是需求方面，</w:t>
      </w:r>
      <w:r>
        <w:rPr>
          <w:rFonts w:hint="eastAsia" w:ascii="仿宋_GB2312" w:hAnsi="仿宋_GB2312" w:eastAsia="仿宋_GB2312" w:cs="仿宋_GB2312"/>
          <w:bCs/>
          <w:color w:val="000000"/>
          <w:sz w:val="32"/>
          <w:szCs w:val="32"/>
          <w:shd w:val="clear" w:color="auto" w:fill="FFFFFF"/>
        </w:rPr>
        <w:t>本月需求端</w:t>
      </w:r>
      <w:r>
        <w:rPr>
          <w:rFonts w:hint="eastAsia" w:ascii="仿宋_GB2312" w:hAnsi="仿宋_GB2312" w:eastAsia="仿宋_GB2312" w:cs="仿宋_GB2312"/>
          <w:bCs/>
          <w:color w:val="000000"/>
          <w:sz w:val="32"/>
          <w:szCs w:val="32"/>
          <w:shd w:val="clear" w:color="auto" w:fill="FFFFFF"/>
          <w:lang w:val="en-US" w:eastAsia="zh-CN"/>
        </w:rPr>
        <w:t>仍主要来自于终端用煤企业刚需，贸易商投机需求不佳，</w:t>
      </w:r>
      <w:r>
        <w:rPr>
          <w:rFonts w:hint="eastAsia" w:ascii="仿宋_GB2312" w:hAnsi="仿宋_GB2312" w:eastAsia="仿宋_GB2312" w:cs="仿宋_GB2312"/>
          <w:b/>
          <w:bCs w:val="0"/>
          <w:color w:val="000000"/>
          <w:sz w:val="32"/>
          <w:szCs w:val="32"/>
          <w:shd w:val="clear" w:color="auto" w:fill="FFFFFF"/>
          <w:lang w:val="en-US" w:eastAsia="zh-CN"/>
        </w:rPr>
        <w:t>具体来看：</w:t>
      </w:r>
      <w:r>
        <w:rPr>
          <w:rFonts w:hint="eastAsia" w:ascii="仿宋_GB2312" w:hAnsi="仿宋_GB2312" w:eastAsia="仿宋_GB2312" w:cs="仿宋_GB2312"/>
          <w:bCs/>
          <w:color w:val="000000"/>
          <w:sz w:val="32"/>
          <w:szCs w:val="32"/>
          <w:shd w:val="clear" w:color="auto" w:fill="FFFFFF"/>
          <w:lang w:val="en-US" w:eastAsia="zh-CN"/>
        </w:rPr>
        <w:t>国内高温天气持续，电厂对市场煤采购需求有所释放，因低价订单到货情况不好，用煤企业选择上调接收价改善到货情况；而煤价持续上行后，性价比优势不佳，贸易商投机意愿有限，维持以销定采为主</w:t>
      </w:r>
      <w:r>
        <w:rPr>
          <w:rFonts w:hint="eastAsia" w:ascii="仿宋_GB2312" w:hAnsi="仿宋_GB2312" w:eastAsia="仿宋_GB2312" w:cs="仿宋_GB2312"/>
          <w:bCs/>
          <w:color w:val="000000"/>
          <w:sz w:val="32"/>
          <w:szCs w:val="32"/>
          <w:shd w:val="clear" w:color="auto" w:fill="FFFFFF"/>
        </w:rPr>
        <w:t>。</w:t>
      </w:r>
      <w:r>
        <w:rPr>
          <w:rFonts w:hint="eastAsia" w:ascii="仿宋_GB2312" w:hAnsi="仿宋_GB2312" w:eastAsia="仿宋_GB2312" w:cs="仿宋_GB2312"/>
          <w:b/>
          <w:color w:val="000000"/>
          <w:sz w:val="32"/>
          <w:szCs w:val="32"/>
          <w:shd w:val="clear" w:color="auto" w:fill="FFFFFF"/>
        </w:rPr>
        <w:t>整体来看，</w:t>
      </w:r>
      <w:r>
        <w:rPr>
          <w:rFonts w:hint="eastAsia" w:ascii="仿宋_GB2312" w:hAnsi="仿宋_GB2312" w:eastAsia="仿宋_GB2312" w:cs="仿宋_GB2312"/>
          <w:bCs/>
          <w:color w:val="000000"/>
          <w:sz w:val="32"/>
          <w:szCs w:val="32"/>
          <w:shd w:val="clear" w:color="auto" w:fill="FFFFFF"/>
        </w:rPr>
        <w:t>本月需求端对市场支撑</w:t>
      </w:r>
      <w:r>
        <w:rPr>
          <w:rFonts w:hint="eastAsia" w:ascii="仿宋_GB2312" w:hAnsi="仿宋_GB2312" w:eastAsia="仿宋_GB2312" w:cs="仿宋_GB2312"/>
          <w:bCs/>
          <w:color w:val="000000"/>
          <w:sz w:val="32"/>
          <w:szCs w:val="32"/>
          <w:shd w:val="clear" w:color="auto" w:fill="FFFFFF"/>
          <w:lang w:val="en-US" w:eastAsia="zh-CN"/>
        </w:rPr>
        <w:t>主要来自于终端用煤企业刚需，支撑强度有限</w:t>
      </w:r>
      <w:r>
        <w:rPr>
          <w:rFonts w:hint="eastAsia" w:ascii="仿宋_GB2312" w:hAnsi="仿宋_GB2312" w:eastAsia="仿宋_GB2312" w:cs="仿宋_GB2312"/>
          <w:bCs/>
          <w:color w:val="000000"/>
          <w:sz w:val="32"/>
          <w:szCs w:val="32"/>
          <w:shd w:val="clear" w:color="auto" w:fill="FFFFFF"/>
        </w:rPr>
        <w:t>。</w:t>
      </w:r>
      <w:r>
        <w:rPr>
          <w:rFonts w:hint="eastAsia" w:ascii="仿宋_GB2312" w:hAnsi="仿宋_GB2312" w:eastAsia="仿宋_GB2312" w:cs="仿宋_GB2312"/>
          <w:b/>
          <w:bCs/>
          <w:spacing w:val="-6"/>
          <w:sz w:val="32"/>
          <w:szCs w:val="32"/>
        </w:rPr>
        <w:t>预计</w:t>
      </w:r>
      <w:r>
        <w:rPr>
          <w:rFonts w:hint="eastAsia" w:ascii="仿宋_GB2312" w:hAnsi="仿宋_GB2312" w:eastAsia="仿宋_GB2312" w:cs="仿宋_GB2312"/>
          <w:bCs/>
          <w:color w:val="000000"/>
          <w:sz w:val="32"/>
          <w:szCs w:val="32"/>
          <w:shd w:val="clear" w:color="auto" w:fill="FFFFFF"/>
        </w:rPr>
        <w:t>下月我市煤炭市场价格或</w:t>
      </w:r>
      <w:r>
        <w:rPr>
          <w:rFonts w:hint="eastAsia" w:ascii="仿宋_GB2312" w:hAnsi="仿宋_GB2312" w:eastAsia="仿宋_GB2312" w:cs="仿宋_GB2312"/>
          <w:bCs/>
          <w:color w:val="000000"/>
          <w:sz w:val="32"/>
          <w:szCs w:val="32"/>
          <w:shd w:val="clear" w:color="auto" w:fill="FFFFFF"/>
          <w:lang w:val="en-US" w:eastAsia="zh-CN"/>
        </w:rPr>
        <w:t>将</w:t>
      </w:r>
      <w:r>
        <w:rPr>
          <w:rFonts w:hint="eastAsia" w:ascii="仿宋_GB2312" w:hAnsi="仿宋_GB2312" w:eastAsia="仿宋_GB2312" w:cs="仿宋_GB2312"/>
          <w:spacing w:val="-6"/>
          <w:sz w:val="32"/>
          <w:szCs w:val="32"/>
        </w:rPr>
        <w:t>在</w:t>
      </w:r>
      <w:r>
        <w:rPr>
          <w:rFonts w:hint="eastAsia" w:ascii="仿宋_GB2312" w:hAnsi="仿宋_GB2312" w:eastAsia="仿宋_GB2312" w:cs="仿宋_GB2312"/>
          <w:bCs/>
          <w:color w:val="000000"/>
          <w:sz w:val="32"/>
          <w:szCs w:val="32"/>
          <w:shd w:val="clear" w:color="auto" w:fill="FFFFFF"/>
        </w:rPr>
        <w:t>窄幅区间</w:t>
      </w:r>
      <w:r>
        <w:rPr>
          <w:rFonts w:hint="eastAsia" w:ascii="仿宋_GB2312" w:hAnsi="仿宋_GB2312" w:eastAsia="仿宋_GB2312" w:cs="仿宋_GB2312"/>
          <w:bCs/>
          <w:color w:val="000000"/>
          <w:sz w:val="32"/>
          <w:szCs w:val="32"/>
          <w:shd w:val="clear" w:color="auto" w:fill="FFFFFF"/>
          <w:lang w:val="en-US" w:eastAsia="zh-CN"/>
        </w:rPr>
        <w:t>上下波动</w:t>
      </w:r>
      <w:r>
        <w:rPr>
          <w:rFonts w:hint="eastAsia" w:ascii="仿宋_GB2312" w:hAnsi="仿宋_GB2312" w:eastAsia="仿宋_GB2312" w:cs="仿宋_GB2312"/>
          <w:bCs/>
          <w:color w:val="000000"/>
          <w:sz w:val="32"/>
          <w:szCs w:val="32"/>
          <w:shd w:val="clear" w:color="auto" w:fill="FFFFFF"/>
        </w:rPr>
        <w:t>。</w:t>
      </w:r>
    </w:p>
    <w:p w14:paraId="1E697841">
      <w:pPr>
        <w:snapToGrid w:val="0"/>
        <w:spacing w:line="360" w:lineRule="auto"/>
        <w:ind w:leftChars="-100" w:hanging="200" w:hangingChars="100"/>
        <w:textAlignment w:val="baseline"/>
      </w:pPr>
      <w:r>
        <w:rPr>
          <w:rFonts w:hint="eastAsia"/>
        </w:rPr>
        <w:t xml:space="preserve"> </w:t>
      </w:r>
      <w:r>
        <w:drawing>
          <wp:inline distT="0" distB="0" distL="114300" distR="114300">
            <wp:extent cx="5584825" cy="2546350"/>
            <wp:effectExtent l="4445" t="4445" r="11430" b="20955"/>
            <wp:docPr id="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774D755">
      <w:pPr>
        <w:snapToGrid w:val="0"/>
        <w:spacing w:line="360" w:lineRule="auto"/>
        <w:ind w:left="-396" w:leftChars="-198" w:firstLine="713" w:firstLineChars="223"/>
        <w:textAlignment w:val="baseline"/>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bCs/>
          <w:color w:val="000000"/>
          <w:sz w:val="32"/>
          <w:szCs w:val="32"/>
          <w:shd w:val="clear" w:color="auto" w:fill="FFFFFF"/>
          <w:lang w:val="en-US" w:eastAsia="zh-CN"/>
        </w:rPr>
        <w:t>7</w:t>
      </w:r>
      <w:r>
        <w:rPr>
          <w:rFonts w:hint="eastAsia" w:ascii="仿宋_GB2312" w:hAnsi="仿宋_GB2312" w:eastAsia="仿宋_GB2312" w:cs="仿宋_GB2312"/>
          <w:bCs/>
          <w:color w:val="000000"/>
          <w:sz w:val="32"/>
          <w:szCs w:val="32"/>
          <w:shd w:val="clear" w:color="auto" w:fill="FFFFFF"/>
        </w:rPr>
        <w:t>月份我市成品油价格整体</w:t>
      </w:r>
      <w:r>
        <w:rPr>
          <w:rFonts w:hint="eastAsia" w:ascii="仿宋_GB2312" w:hAnsi="仿宋_GB2312" w:eastAsia="仿宋_GB2312" w:cs="仿宋_GB2312"/>
          <w:bCs/>
          <w:color w:val="000000"/>
          <w:sz w:val="32"/>
          <w:szCs w:val="32"/>
          <w:shd w:val="clear" w:color="auto" w:fill="FFFFFF"/>
          <w:lang w:eastAsia="zh-CN"/>
        </w:rPr>
        <w:t>呈</w:t>
      </w:r>
      <w:r>
        <w:rPr>
          <w:rFonts w:hint="eastAsia" w:ascii="仿宋_GB2312" w:hAnsi="仿宋_GB2312" w:eastAsia="仿宋_GB2312" w:cs="仿宋_GB2312"/>
          <w:bCs/>
          <w:color w:val="000000"/>
          <w:sz w:val="32"/>
          <w:szCs w:val="32"/>
          <w:shd w:val="clear" w:color="auto" w:fill="FFFFFF"/>
          <w:lang w:val="en-US" w:eastAsia="zh-CN"/>
        </w:rPr>
        <w:t>小幅上</w:t>
      </w:r>
      <w:r>
        <w:rPr>
          <w:rFonts w:hint="eastAsia" w:ascii="仿宋_GB2312" w:hAnsi="仿宋_GB2312" w:eastAsia="仿宋_GB2312" w:cs="仿宋_GB2312"/>
          <w:bCs/>
          <w:color w:val="000000"/>
          <w:sz w:val="32"/>
          <w:szCs w:val="32"/>
          <w:shd w:val="clear" w:color="auto" w:fill="FFFFFF"/>
          <w:lang w:eastAsia="zh-CN"/>
        </w:rPr>
        <w:t>涨走</w:t>
      </w:r>
      <w:r>
        <w:rPr>
          <w:rFonts w:hint="eastAsia" w:ascii="仿宋_GB2312" w:hAnsi="仿宋_GB2312" w:eastAsia="仿宋_GB2312" w:cs="仿宋_GB2312"/>
          <w:bCs/>
          <w:color w:val="000000"/>
          <w:sz w:val="32"/>
          <w:szCs w:val="32"/>
          <w:shd w:val="clear" w:color="auto" w:fill="FFFFFF"/>
        </w:rPr>
        <w:t>势。</w:t>
      </w:r>
      <w:r>
        <w:rPr>
          <w:rFonts w:hint="eastAsia" w:ascii="仿宋_GB2312" w:hAnsi="仿宋_GB2312" w:eastAsia="仿宋_GB2312" w:cs="仿宋_GB2312"/>
          <w:b/>
          <w:color w:val="000000"/>
          <w:sz w:val="32"/>
          <w:szCs w:val="32"/>
          <w:shd w:val="clear" w:color="auto" w:fill="FFFFFF"/>
        </w:rPr>
        <w:t>主要原因分析：一是</w:t>
      </w:r>
      <w:r>
        <w:rPr>
          <w:rFonts w:hint="eastAsia" w:ascii="仿宋_GB2312" w:hAnsi="仿宋_GB2312" w:eastAsia="仿宋_GB2312" w:cs="仿宋_GB2312"/>
          <w:b/>
          <w:bCs w:val="0"/>
          <w:color w:val="000000"/>
          <w:sz w:val="32"/>
          <w:szCs w:val="32"/>
          <w:shd w:val="clear" w:color="auto" w:fill="FFFFFF"/>
          <w:lang w:val="en-US" w:eastAsia="zh-CN"/>
        </w:rPr>
        <w:t>国际原油价格波动</w:t>
      </w:r>
      <w:r>
        <w:rPr>
          <w:rFonts w:hint="eastAsia" w:ascii="仿宋_GB2312" w:hAnsi="仿宋_GB2312" w:eastAsia="仿宋_GB2312" w:cs="仿宋_GB2312"/>
          <w:b/>
          <w:bCs w:val="0"/>
          <w:color w:val="000000"/>
          <w:sz w:val="32"/>
          <w:szCs w:val="32"/>
          <w:shd w:val="clear" w:color="auto" w:fill="FFFFFF"/>
          <w:lang w:eastAsia="zh-CN"/>
        </w:rPr>
        <w:t>。</w:t>
      </w:r>
      <w:r>
        <w:rPr>
          <w:rFonts w:hint="eastAsia" w:ascii="仿宋_GB2312" w:hAnsi="仿宋_GB2312" w:eastAsia="仿宋_GB2312" w:cs="仿宋_GB2312"/>
          <w:bCs/>
          <w:color w:val="000000"/>
          <w:sz w:val="32"/>
          <w:szCs w:val="32"/>
          <w:shd w:val="clear" w:color="auto" w:fill="FFFFFF"/>
          <w:lang w:val="en-US" w:eastAsia="zh-CN"/>
        </w:rPr>
        <w:t>6月中旬以来中东地区地缘冲突升级（如以色列与伊朗冲突），导致国际原油价格一度暴涨，布伦特原油价格突破80美元/桶，地缘政治风险推动油价上涨。</w:t>
      </w:r>
      <w:r>
        <w:rPr>
          <w:rFonts w:hint="eastAsia" w:ascii="仿宋_GB2312" w:hAnsi="仿宋_GB2312" w:eastAsia="仿宋_GB2312" w:cs="仿宋_GB2312"/>
          <w:b/>
          <w:bCs w:val="0"/>
          <w:color w:val="000000"/>
          <w:sz w:val="32"/>
          <w:szCs w:val="32"/>
          <w:shd w:val="clear" w:color="auto" w:fill="FFFFFF"/>
          <w:lang w:val="en-US" w:eastAsia="zh-CN"/>
        </w:rPr>
        <w:t>二是国内税费政策影响。</w:t>
      </w:r>
      <w:r>
        <w:rPr>
          <w:rFonts w:hint="eastAsia" w:ascii="仿宋_GB2312" w:hAnsi="仿宋_GB2312" w:eastAsia="仿宋_GB2312" w:cs="仿宋_GB2312"/>
          <w:bCs/>
          <w:color w:val="000000"/>
          <w:sz w:val="32"/>
          <w:szCs w:val="32"/>
          <w:shd w:val="clear" w:color="auto" w:fill="FFFFFF"/>
          <w:lang w:val="en-US" w:eastAsia="zh-CN"/>
        </w:rPr>
        <w:t>国内油价含约50%左右的税费，当国际油价下跌时，税费刚性导致国内降价幅度受限。此外，环保政策升级（如国六标准）增加炼油成本，间接推高油价。</w:t>
      </w:r>
      <w:r>
        <w:rPr>
          <w:rFonts w:hint="eastAsia" w:ascii="仿宋_GB2312" w:hAnsi="仿宋_GB2312" w:eastAsia="仿宋_GB2312" w:cs="仿宋_GB2312"/>
          <w:b/>
          <w:bCs w:val="0"/>
          <w:color w:val="000000"/>
          <w:sz w:val="32"/>
          <w:szCs w:val="32"/>
          <w:shd w:val="clear" w:color="auto" w:fill="FFFFFF"/>
          <w:lang w:val="en-US" w:eastAsia="zh-CN"/>
        </w:rPr>
        <w:t>三是炼油厂产能调整。</w:t>
      </w:r>
      <w:r>
        <w:rPr>
          <w:rFonts w:hint="eastAsia" w:ascii="仿宋_GB2312" w:hAnsi="仿宋_GB2312" w:eastAsia="仿宋_GB2312" w:cs="仿宋_GB2312"/>
          <w:bCs/>
          <w:color w:val="000000"/>
          <w:sz w:val="32"/>
          <w:szCs w:val="32"/>
          <w:shd w:val="clear" w:color="auto" w:fill="FFFFFF"/>
          <w:lang w:val="en-US" w:eastAsia="zh-CN"/>
        </w:rPr>
        <w:t>国内部分炼油厂设备检修导致开工率下降至65%，市场供应减少加剧油价上涨压力。</w:t>
      </w:r>
      <w:r>
        <w:rPr>
          <w:rFonts w:hint="eastAsia" w:ascii="仿宋_GB2312" w:hAnsi="仿宋_GB2312" w:eastAsia="仿宋_GB2312" w:cs="仿宋_GB2312"/>
          <w:b/>
          <w:bCs w:val="0"/>
          <w:color w:val="000000"/>
          <w:sz w:val="32"/>
          <w:szCs w:val="32"/>
          <w:shd w:val="clear" w:color="auto" w:fill="FFFFFF"/>
          <w:lang w:val="en-US" w:eastAsia="zh-CN"/>
        </w:rPr>
        <w:t>四是夏季出行需求增长。</w:t>
      </w:r>
      <w:r>
        <w:rPr>
          <w:rFonts w:hint="eastAsia" w:ascii="仿宋_GB2312" w:hAnsi="仿宋_GB2312" w:eastAsia="仿宋_GB2312" w:cs="仿宋_GB2312"/>
          <w:bCs/>
          <w:color w:val="000000"/>
          <w:sz w:val="32"/>
          <w:szCs w:val="32"/>
          <w:shd w:val="clear" w:color="auto" w:fill="FFFFFF"/>
          <w:lang w:val="en-US" w:eastAsia="zh-CN"/>
        </w:rPr>
        <w:t>暑期出行带动汽油消费需求增加约12%，叠加运输旺季，市场供需失衡推动油价上涨。</w:t>
      </w:r>
      <w:r>
        <w:rPr>
          <w:rFonts w:hint="eastAsia" w:ascii="仿宋_GB2312" w:hAnsi="仿宋_GB2312" w:eastAsia="仿宋_GB2312" w:cs="仿宋_GB2312"/>
          <w:bCs/>
          <w:color w:val="000000"/>
          <w:sz w:val="32"/>
          <w:szCs w:val="32"/>
          <w:shd w:val="clear" w:color="auto" w:fill="FFFFFF"/>
        </w:rPr>
        <w:t>‌</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b/>
          <w:color w:val="000000"/>
          <w:sz w:val="32"/>
          <w:szCs w:val="32"/>
          <w:shd w:val="clear" w:color="auto" w:fill="FFFFFF"/>
        </w:rPr>
        <w:t>预计</w:t>
      </w:r>
      <w:r>
        <w:rPr>
          <w:rFonts w:hint="eastAsia" w:ascii="仿宋_GB2312" w:hAnsi="仿宋_GB2312" w:eastAsia="仿宋_GB2312" w:cs="仿宋_GB2312"/>
          <w:color w:val="222222"/>
          <w:sz w:val="32"/>
          <w:szCs w:val="32"/>
          <w:shd w:val="clear" w:color="auto" w:fill="FFFFFF"/>
        </w:rPr>
        <w:t>下月</w:t>
      </w:r>
      <w:r>
        <w:rPr>
          <w:rFonts w:hint="eastAsia" w:ascii="仿宋_GB2312" w:hAnsi="仿宋_GB2312" w:eastAsia="仿宋_GB2312" w:cs="仿宋_GB2312"/>
          <w:bCs/>
          <w:color w:val="000000"/>
          <w:sz w:val="32"/>
          <w:szCs w:val="32"/>
          <w:shd w:val="clear" w:color="auto" w:fill="FFFFFF"/>
        </w:rPr>
        <w:t>我市成品油市场</w:t>
      </w:r>
      <w:r>
        <w:rPr>
          <w:rFonts w:ascii="仿宋_GB2312" w:hAnsi="仿宋_GB2312" w:eastAsia="仿宋_GB2312" w:cs="仿宋_GB2312"/>
          <w:bCs/>
          <w:color w:val="000000"/>
          <w:sz w:val="32"/>
          <w:szCs w:val="32"/>
          <w:shd w:val="clear" w:color="auto" w:fill="FFFFFF"/>
        </w:rPr>
        <w:t>行情</w:t>
      </w:r>
      <w:r>
        <w:rPr>
          <w:rFonts w:hint="eastAsia" w:ascii="仿宋_GB2312" w:hAnsi="仿宋_GB2312" w:eastAsia="仿宋_GB2312" w:cs="仿宋_GB2312"/>
          <w:bCs/>
          <w:color w:val="000000"/>
          <w:sz w:val="32"/>
          <w:szCs w:val="32"/>
          <w:shd w:val="clear" w:color="auto" w:fill="FFFFFF"/>
        </w:rPr>
        <w:t>或</w:t>
      </w:r>
      <w:r>
        <w:rPr>
          <w:rFonts w:hint="eastAsia" w:ascii="仿宋_GB2312" w:hAnsi="仿宋_GB2312" w:eastAsia="仿宋_GB2312" w:cs="仿宋_GB2312"/>
          <w:color w:val="222222"/>
          <w:sz w:val="32"/>
          <w:szCs w:val="32"/>
          <w:shd w:val="clear" w:color="auto" w:fill="FFFFFF"/>
        </w:rPr>
        <w:t>将</w:t>
      </w:r>
      <w:r>
        <w:rPr>
          <w:rFonts w:hint="eastAsia" w:ascii="仿宋_GB2312" w:hAnsi="仿宋_GB2312" w:eastAsia="仿宋_GB2312" w:cs="仿宋_GB2312"/>
          <w:color w:val="222222"/>
          <w:sz w:val="32"/>
          <w:szCs w:val="32"/>
          <w:shd w:val="clear" w:color="auto" w:fill="FFFFFF"/>
          <w:lang w:val="en-US" w:eastAsia="zh-CN"/>
        </w:rPr>
        <w:t>继续小幅上行</w:t>
      </w:r>
      <w:r>
        <w:rPr>
          <w:rFonts w:hint="eastAsia" w:ascii="仿宋_GB2312" w:hAnsi="仿宋_GB2312" w:eastAsia="仿宋_GB2312" w:cs="仿宋_GB2312"/>
          <w:color w:val="222222"/>
          <w:sz w:val="32"/>
          <w:szCs w:val="32"/>
          <w:shd w:val="clear" w:color="auto" w:fill="FFFFFF"/>
        </w:rPr>
        <w:t>。</w:t>
      </w:r>
    </w:p>
    <w:p w14:paraId="23FD0F9E">
      <w:pPr>
        <w:pStyle w:val="2"/>
        <w:ind w:left="0" w:leftChars="0" w:firstLine="0" w:firstLineChars="0"/>
      </w:pPr>
      <w:r>
        <w:drawing>
          <wp:inline distT="0" distB="0" distL="114300" distR="114300">
            <wp:extent cx="5583555" cy="2414270"/>
            <wp:effectExtent l="4445" t="4445" r="12700" b="19685"/>
            <wp:docPr id="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237C4BF">
      <w:pPr>
        <w:snapToGrid w:val="0"/>
        <w:spacing w:line="360" w:lineRule="auto"/>
        <w:ind w:left="-396" w:leftChars="-198" w:firstLine="713" w:firstLineChars="223"/>
        <w:textAlignment w:val="baseline"/>
      </w:pPr>
      <w:r>
        <w:rPr>
          <w:rFonts w:hint="eastAsia" w:ascii="仿宋_GB2312" w:hAnsi="仿宋_GB2312" w:eastAsia="仿宋_GB2312" w:cs="仿宋_GB2312"/>
          <w:color w:val="222222"/>
          <w:sz w:val="32"/>
          <w:szCs w:val="32"/>
          <w:shd w:val="clear" w:color="auto" w:fill="FFFFFF"/>
          <w:lang w:val="en-US" w:eastAsia="zh-CN"/>
        </w:rPr>
        <w:t>7</w:t>
      </w:r>
      <w:r>
        <w:rPr>
          <w:rFonts w:hint="eastAsia" w:ascii="仿宋_GB2312" w:hAnsi="仿宋_GB2312" w:eastAsia="仿宋_GB2312" w:cs="仿宋_GB2312"/>
          <w:color w:val="222222"/>
          <w:sz w:val="32"/>
          <w:szCs w:val="32"/>
          <w:shd w:val="clear" w:color="auto" w:fill="FFFFFF"/>
        </w:rPr>
        <w:t>月份我市PVC市场价格</w:t>
      </w:r>
      <w:r>
        <w:rPr>
          <w:rFonts w:hint="eastAsia" w:ascii="仿宋_GB2312" w:hAnsi="仿宋_GB2312" w:eastAsia="仿宋_GB2312" w:cs="仿宋_GB2312"/>
          <w:color w:val="222222"/>
          <w:sz w:val="32"/>
          <w:szCs w:val="32"/>
          <w:shd w:val="clear" w:color="auto" w:fill="FFFFFF"/>
          <w:lang w:val="en-US" w:eastAsia="zh-CN"/>
        </w:rPr>
        <w:t>呈</w:t>
      </w:r>
      <w:r>
        <w:rPr>
          <w:rFonts w:hint="eastAsia" w:ascii="仿宋_GB2312" w:hAnsi="仿宋_GB2312" w:eastAsia="仿宋_GB2312" w:cs="仿宋_GB2312"/>
          <w:color w:val="222222"/>
          <w:sz w:val="32"/>
          <w:szCs w:val="32"/>
          <w:shd w:val="clear" w:color="auto" w:fill="FFFFFF"/>
        </w:rPr>
        <w:t>小幅</w:t>
      </w:r>
      <w:r>
        <w:rPr>
          <w:rFonts w:hint="eastAsia" w:ascii="仿宋_GB2312" w:hAnsi="仿宋_GB2312" w:eastAsia="仿宋_GB2312" w:cs="仿宋_GB2312"/>
          <w:color w:val="222222"/>
          <w:sz w:val="32"/>
          <w:szCs w:val="32"/>
          <w:shd w:val="clear" w:color="auto" w:fill="FFFFFF"/>
          <w:lang w:val="en-US" w:eastAsia="zh-CN"/>
        </w:rPr>
        <w:t>上涨</w:t>
      </w:r>
      <w:r>
        <w:rPr>
          <w:rFonts w:hint="eastAsia" w:ascii="仿宋_GB2312" w:hAnsi="仿宋_GB2312" w:eastAsia="仿宋_GB2312" w:cs="仿宋_GB2312"/>
          <w:color w:val="222222"/>
          <w:sz w:val="32"/>
          <w:szCs w:val="32"/>
          <w:shd w:val="clear" w:color="auto" w:fill="FFFFFF"/>
          <w:lang w:eastAsia="zh-CN"/>
        </w:rPr>
        <w:t>走</w:t>
      </w:r>
      <w:r>
        <w:rPr>
          <w:rFonts w:hint="eastAsia" w:ascii="仿宋_GB2312" w:hAnsi="仿宋_GB2312" w:eastAsia="仿宋_GB2312" w:cs="仿宋_GB2312"/>
          <w:color w:val="222222"/>
          <w:sz w:val="32"/>
          <w:szCs w:val="32"/>
          <w:shd w:val="clear" w:color="auto" w:fill="FFFFFF"/>
        </w:rPr>
        <w:t>势</w:t>
      </w:r>
      <w:r>
        <w:rPr>
          <w:rFonts w:hint="eastAsia" w:ascii="仿宋_GB2312" w:hAnsi="仿宋_GB2312" w:eastAsia="仿宋_GB2312" w:cs="仿宋_GB2312"/>
          <w:color w:val="222222"/>
          <w:sz w:val="32"/>
          <w:szCs w:val="32"/>
          <w:shd w:val="clear" w:color="auto" w:fill="FFFFFF"/>
          <w:lang w:eastAsia="zh-CN"/>
        </w:rPr>
        <w:t>，</w:t>
      </w:r>
      <w:r>
        <w:rPr>
          <w:rFonts w:hint="eastAsia" w:ascii="仿宋_GB2312" w:hAnsi="仿宋_GB2312" w:eastAsia="仿宋_GB2312" w:cs="仿宋_GB2312"/>
          <w:color w:val="222222"/>
          <w:sz w:val="32"/>
          <w:szCs w:val="32"/>
          <w:shd w:val="clear" w:color="auto" w:fill="FFFFFF"/>
        </w:rPr>
        <w:t>PE、PP</w:t>
      </w:r>
      <w:r>
        <w:rPr>
          <w:rFonts w:hint="eastAsia" w:ascii="仿宋_GB2312" w:hAnsi="仿宋_GB2312" w:eastAsia="仿宋_GB2312" w:cs="仿宋_GB2312"/>
          <w:color w:val="222222"/>
          <w:sz w:val="32"/>
          <w:szCs w:val="32"/>
          <w:shd w:val="clear" w:color="auto" w:fill="FFFFFF"/>
          <w:lang w:eastAsia="zh-CN"/>
        </w:rPr>
        <w:t>市场价格呈</w:t>
      </w:r>
      <w:r>
        <w:rPr>
          <w:rFonts w:hint="eastAsia" w:ascii="仿宋_GB2312" w:hAnsi="仿宋_GB2312" w:eastAsia="仿宋_GB2312" w:cs="仿宋_GB2312"/>
          <w:color w:val="222222"/>
          <w:sz w:val="32"/>
          <w:szCs w:val="32"/>
          <w:shd w:val="clear" w:color="auto" w:fill="FFFFFF"/>
          <w:lang w:val="en-US" w:eastAsia="zh-CN"/>
        </w:rPr>
        <w:t>小幅下行</w:t>
      </w:r>
      <w:r>
        <w:rPr>
          <w:rFonts w:hint="eastAsia" w:ascii="仿宋_GB2312" w:hAnsi="仿宋_GB2312" w:eastAsia="仿宋_GB2312" w:cs="仿宋_GB2312"/>
          <w:color w:val="222222"/>
          <w:sz w:val="32"/>
          <w:szCs w:val="32"/>
          <w:shd w:val="clear" w:color="auto" w:fill="FFFFFF"/>
          <w:lang w:eastAsia="zh-CN"/>
        </w:rPr>
        <w:t>态势</w:t>
      </w:r>
      <w:r>
        <w:rPr>
          <w:rFonts w:hint="eastAsia" w:ascii="仿宋_GB2312" w:hAnsi="仿宋_GB2312" w:eastAsia="仿宋_GB2312" w:cs="仿宋_GB2312"/>
          <w:color w:val="222222"/>
          <w:sz w:val="32"/>
          <w:szCs w:val="32"/>
          <w:shd w:val="clear" w:color="auto" w:fill="FFFFFF"/>
        </w:rPr>
        <w:t>。</w:t>
      </w:r>
      <w:r>
        <w:rPr>
          <w:rFonts w:hint="eastAsia" w:ascii="仿宋_GB2312" w:hAnsi="仿宋_GB2312" w:eastAsia="仿宋_GB2312" w:cs="仿宋_GB2312"/>
          <w:b/>
          <w:bCs/>
          <w:color w:val="222222"/>
          <w:sz w:val="32"/>
          <w:szCs w:val="32"/>
          <w:shd w:val="clear" w:color="auto" w:fill="FFFFFF"/>
        </w:rPr>
        <w:t>本月PVC价格小幅</w:t>
      </w:r>
      <w:r>
        <w:rPr>
          <w:rFonts w:hint="eastAsia" w:ascii="仿宋_GB2312" w:hAnsi="仿宋_GB2312" w:eastAsia="仿宋_GB2312" w:cs="仿宋_GB2312"/>
          <w:b/>
          <w:bCs/>
          <w:color w:val="222222"/>
          <w:sz w:val="32"/>
          <w:szCs w:val="32"/>
          <w:shd w:val="clear" w:color="auto" w:fill="FFFFFF"/>
          <w:lang w:val="en-US" w:eastAsia="zh-CN"/>
        </w:rPr>
        <w:t>上行</w:t>
      </w:r>
      <w:r>
        <w:rPr>
          <w:rFonts w:hint="eastAsia" w:ascii="仿宋_GB2312" w:hAnsi="仿宋_GB2312" w:eastAsia="仿宋_GB2312" w:cs="仿宋_GB2312"/>
          <w:b/>
          <w:bCs/>
          <w:color w:val="222222"/>
          <w:sz w:val="32"/>
          <w:szCs w:val="32"/>
          <w:shd w:val="clear" w:color="auto" w:fill="FFFFFF"/>
        </w:rPr>
        <w:t>。主要原因分析：</w:t>
      </w:r>
      <w:r>
        <w:rPr>
          <w:rFonts w:hint="eastAsia" w:ascii="仿宋_GB2312" w:hAnsi="仿宋_GB2312" w:eastAsia="仿宋_GB2312" w:cs="仿宋_GB2312"/>
          <w:b/>
          <w:bCs/>
          <w:color w:val="222222"/>
          <w:sz w:val="32"/>
          <w:szCs w:val="32"/>
          <w:shd w:val="clear" w:color="auto" w:fill="FFFFFF"/>
          <w:lang w:val="en-US" w:eastAsia="zh-CN"/>
        </w:rPr>
        <w:t>一是成本端支撑增强。</w:t>
      </w:r>
      <w:r>
        <w:rPr>
          <w:rFonts w:hint="eastAsia" w:ascii="仿宋_GB2312" w:hAnsi="仿宋_GB2312" w:eastAsia="仿宋_GB2312" w:cs="仿宋_GB2312"/>
          <w:color w:val="222222"/>
          <w:sz w:val="32"/>
          <w:szCs w:val="32"/>
          <w:shd w:val="clear" w:color="auto" w:fill="FFFFFF"/>
          <w:lang w:val="en-US" w:eastAsia="zh-CN"/>
        </w:rPr>
        <w:t>电石法PVC生产成本受原料电石价格波动影响，近期电石供应量增加导致成本端压力缓解，但内蒙古地区避峰生产政策不确定性及原料调涨预期仍对价格形成支撑。</w:t>
      </w:r>
      <w:r>
        <w:rPr>
          <w:rFonts w:hint="eastAsia" w:ascii="仿宋_GB2312" w:hAnsi="仿宋_GB2312" w:eastAsia="仿宋_GB2312" w:cs="仿宋_GB2312"/>
          <w:b/>
          <w:bCs/>
          <w:color w:val="222222"/>
          <w:sz w:val="32"/>
          <w:szCs w:val="32"/>
          <w:shd w:val="clear" w:color="auto" w:fill="FFFFFF"/>
          <w:lang w:val="en-US" w:eastAsia="zh-CN"/>
        </w:rPr>
        <w:t>二是政策利好推动。</w:t>
      </w:r>
      <w:r>
        <w:rPr>
          <w:rFonts w:hint="eastAsia" w:ascii="仿宋_GB2312" w:hAnsi="仿宋_GB2312" w:eastAsia="仿宋_GB2312" w:cs="仿宋_GB2312"/>
          <w:color w:val="222222"/>
          <w:sz w:val="32"/>
          <w:szCs w:val="32"/>
          <w:shd w:val="clear" w:color="auto" w:fill="FFFFFF"/>
          <w:lang w:val="en-US" w:eastAsia="zh-CN"/>
        </w:rPr>
        <w:t>宏观政策及市场情绪回暖，期货盘面持续上涨带动现货市场跟涨，本月华东、华南地区电石法PVC主流价格集中在4960-5070元/吨，乙烯法价格区间为5160-5390元/吨。</w:t>
      </w:r>
      <w:r>
        <w:rPr>
          <w:rFonts w:hint="eastAsia" w:ascii="仿宋_GB2312" w:hAnsi="仿宋_GB2312" w:eastAsia="仿宋_GB2312" w:cs="仿宋_GB2312"/>
          <w:b/>
          <w:bCs/>
          <w:color w:val="222222"/>
          <w:sz w:val="32"/>
          <w:szCs w:val="32"/>
          <w:shd w:val="clear" w:color="auto" w:fill="FFFFFF"/>
          <w:lang w:val="en-US" w:eastAsia="zh-CN"/>
        </w:rPr>
        <w:t>三是需求暂未明显萎缩。</w:t>
      </w:r>
      <w:r>
        <w:rPr>
          <w:rFonts w:hint="eastAsia" w:ascii="仿宋_GB2312" w:hAnsi="仿宋_GB2312" w:eastAsia="仿宋_GB2312" w:cs="仿宋_GB2312"/>
          <w:color w:val="222222"/>
          <w:sz w:val="32"/>
          <w:szCs w:val="32"/>
          <w:shd w:val="clear" w:color="auto" w:fill="FFFFFF"/>
          <w:lang w:val="en-US" w:eastAsia="zh-CN"/>
        </w:rPr>
        <w:t>尽管终端需求仍显萎靡，但光伏等行业需求增长及行业整治预期推动市场维持交投，部分企业通过涨价应对潜在风险。</w:t>
      </w:r>
      <w:r>
        <w:rPr>
          <w:rFonts w:hint="eastAsia" w:ascii="仿宋_GB2312" w:hAnsi="仿宋_GB2312" w:eastAsia="仿宋_GB2312" w:cs="仿宋_GB2312"/>
          <w:color w:val="222222"/>
          <w:sz w:val="32"/>
          <w:szCs w:val="32"/>
          <w:shd w:val="clear" w:color="auto" w:fill="FFFFFF"/>
        </w:rPr>
        <w:t>‌‌‌</w:t>
      </w:r>
      <w:r>
        <w:rPr>
          <w:rFonts w:hint="eastAsia" w:ascii="仿宋_GB2312" w:hAnsi="仿宋_GB2312" w:eastAsia="仿宋_GB2312" w:cs="仿宋_GB2312"/>
          <w:b/>
          <w:bCs/>
          <w:spacing w:val="8"/>
          <w:sz w:val="32"/>
          <w:szCs w:val="32"/>
          <w:shd w:val="clear" w:color="auto" w:fill="FFFFFF"/>
        </w:rPr>
        <w:t>预计</w:t>
      </w:r>
      <w:r>
        <w:rPr>
          <w:rFonts w:hint="eastAsia" w:ascii="仿宋_GB2312" w:hAnsi="仿宋_GB2312" w:eastAsia="仿宋_GB2312" w:cs="仿宋_GB2312"/>
          <w:color w:val="222222"/>
          <w:sz w:val="32"/>
          <w:szCs w:val="32"/>
          <w:shd w:val="clear" w:color="auto" w:fill="FFFFFF"/>
        </w:rPr>
        <w:t>短期内</w:t>
      </w:r>
      <w:r>
        <w:rPr>
          <w:rFonts w:hint="eastAsia" w:ascii="仿宋_GB2312" w:hAnsi="仿宋_GB2312" w:eastAsia="仿宋_GB2312" w:cs="仿宋_GB2312"/>
          <w:spacing w:val="8"/>
          <w:sz w:val="32"/>
          <w:szCs w:val="32"/>
          <w:shd w:val="clear" w:color="auto" w:fill="FFFFFF"/>
        </w:rPr>
        <w:t>我市PVC</w:t>
      </w:r>
      <w:r>
        <w:rPr>
          <w:rFonts w:hint="eastAsia" w:ascii="仿宋_GB2312" w:hAnsi="仿宋_GB2312" w:eastAsia="仿宋_GB2312" w:cs="仿宋_GB2312"/>
          <w:color w:val="000000"/>
          <w:sz w:val="32"/>
          <w:szCs w:val="32"/>
          <w:shd w:val="clear" w:color="auto" w:fill="FFFFFF"/>
        </w:rPr>
        <w:t>市场</w:t>
      </w:r>
      <w:r>
        <w:rPr>
          <w:rFonts w:hint="eastAsia" w:ascii="仿宋_GB2312" w:hAnsi="仿宋_GB2312" w:eastAsia="仿宋_GB2312" w:cs="仿宋_GB2312"/>
          <w:color w:val="222222"/>
          <w:sz w:val="32"/>
          <w:szCs w:val="32"/>
          <w:shd w:val="clear" w:color="auto" w:fill="FFFFFF"/>
        </w:rPr>
        <w:t>价格或将</w:t>
      </w:r>
      <w:r>
        <w:rPr>
          <w:rFonts w:hint="eastAsia" w:ascii="仿宋_GB2312" w:hAnsi="仿宋_GB2312" w:eastAsia="仿宋_GB2312" w:cs="仿宋_GB2312"/>
          <w:color w:val="222222"/>
          <w:sz w:val="32"/>
          <w:szCs w:val="32"/>
          <w:shd w:val="clear" w:color="auto" w:fill="FFFFFF"/>
          <w:lang w:val="en-US" w:eastAsia="zh-CN"/>
        </w:rPr>
        <w:t>稳中小幅上</w:t>
      </w:r>
      <w:r>
        <w:rPr>
          <w:rFonts w:hint="eastAsia" w:ascii="仿宋_GB2312" w:hAnsi="仿宋_GB2312" w:eastAsia="仿宋_GB2312" w:cs="仿宋_GB2312"/>
          <w:color w:val="222222"/>
          <w:sz w:val="32"/>
          <w:szCs w:val="32"/>
          <w:shd w:val="clear" w:color="auto" w:fill="FFFFFF"/>
        </w:rPr>
        <w:t>行。</w:t>
      </w:r>
      <w:r>
        <w:rPr>
          <w:rFonts w:hint="eastAsia" w:ascii="仿宋_GB2312" w:hAnsi="仿宋_GB2312" w:eastAsia="仿宋_GB2312" w:cs="仿宋_GB2312"/>
          <w:b/>
          <w:bCs/>
          <w:spacing w:val="-6"/>
          <w:sz w:val="32"/>
          <w:szCs w:val="32"/>
        </w:rPr>
        <w:t>本月PE、PP市场价格</w:t>
      </w:r>
      <w:r>
        <w:rPr>
          <w:rFonts w:hint="eastAsia" w:ascii="仿宋_GB2312" w:hAnsi="仿宋_GB2312" w:eastAsia="仿宋_GB2312" w:cs="仿宋_GB2312"/>
          <w:b/>
          <w:bCs/>
          <w:spacing w:val="-6"/>
          <w:sz w:val="32"/>
          <w:szCs w:val="32"/>
          <w:lang w:val="en-US" w:eastAsia="zh-CN"/>
        </w:rPr>
        <w:t>小幅下</w:t>
      </w:r>
      <w:r>
        <w:rPr>
          <w:rFonts w:hint="eastAsia" w:ascii="仿宋_GB2312" w:hAnsi="仿宋_GB2312" w:eastAsia="仿宋_GB2312" w:cs="仿宋_GB2312"/>
          <w:b/>
          <w:bCs/>
          <w:spacing w:val="-6"/>
          <w:sz w:val="32"/>
          <w:szCs w:val="32"/>
        </w:rPr>
        <w:t>降。主要原因分析：</w:t>
      </w:r>
      <w:r>
        <w:rPr>
          <w:rFonts w:hint="eastAsia" w:ascii="仿宋_GB2312" w:hAnsi="仿宋_GB2312" w:eastAsia="仿宋_GB2312" w:cs="仿宋_GB2312"/>
          <w:b/>
          <w:bCs/>
          <w:spacing w:val="-6"/>
          <w:sz w:val="32"/>
          <w:szCs w:val="32"/>
          <w:lang w:val="en-US" w:eastAsia="zh-CN"/>
        </w:rPr>
        <w:t>一是</w:t>
      </w:r>
      <w:r>
        <w:rPr>
          <w:rFonts w:hint="eastAsia" w:ascii="仿宋_GB2312" w:hAnsi="仿宋_GB2312" w:eastAsia="仿宋_GB2312" w:cs="仿宋_GB2312"/>
          <w:b/>
          <w:bCs/>
          <w:spacing w:val="-6"/>
          <w:sz w:val="32"/>
          <w:szCs w:val="32"/>
        </w:rPr>
        <w:t>供应压力增加</w:t>
      </w:r>
      <w:r>
        <w:rPr>
          <w:rFonts w:hint="eastAsia" w:ascii="仿宋_GB2312" w:hAnsi="仿宋_GB2312" w:eastAsia="仿宋_GB2312" w:cs="仿宋_GB2312"/>
          <w:b/>
          <w:bCs/>
          <w:spacing w:val="-6"/>
          <w:sz w:val="32"/>
          <w:szCs w:val="32"/>
          <w:lang w:eastAsia="zh-CN"/>
        </w:rPr>
        <w:t>。</w:t>
      </w:r>
      <w:r>
        <w:rPr>
          <w:rFonts w:hint="eastAsia" w:ascii="仿宋_GB2312" w:hAnsi="仿宋_GB2312" w:eastAsia="仿宋_GB2312" w:cs="仿宋_GB2312"/>
          <w:spacing w:val="-6"/>
          <w:sz w:val="32"/>
          <w:szCs w:val="32"/>
        </w:rPr>
        <w:t>7月</w:t>
      </w:r>
      <w:r>
        <w:rPr>
          <w:rFonts w:hint="eastAsia" w:ascii="仿宋_GB2312" w:hAnsi="仿宋_GB2312" w:eastAsia="仿宋_GB2312" w:cs="仿宋_GB2312"/>
          <w:spacing w:val="-6"/>
          <w:sz w:val="32"/>
          <w:szCs w:val="32"/>
          <w:lang w:val="en-US" w:eastAsia="zh-CN"/>
        </w:rPr>
        <w:t>份</w:t>
      </w:r>
      <w:r>
        <w:rPr>
          <w:rFonts w:hint="eastAsia" w:ascii="仿宋_GB2312" w:hAnsi="仿宋_GB2312" w:eastAsia="仿宋_GB2312" w:cs="仿宋_GB2312"/>
          <w:spacing w:val="-6"/>
          <w:sz w:val="32"/>
          <w:szCs w:val="32"/>
        </w:rPr>
        <w:t>国内PE、PP行业检修装置陆续重启，新增产能集中释放，</w:t>
      </w:r>
      <w:bookmarkStart w:id="0" w:name="_GoBack"/>
      <w:bookmarkEnd w:id="0"/>
      <w:r>
        <w:rPr>
          <w:rFonts w:hint="eastAsia" w:ascii="仿宋_GB2312" w:hAnsi="仿宋_GB2312" w:eastAsia="仿宋_GB2312" w:cs="仿宋_GB2312"/>
          <w:spacing w:val="-6"/>
          <w:sz w:val="32"/>
          <w:szCs w:val="32"/>
        </w:rPr>
        <w:t>生产企业去库节奏放缓，</w:t>
      </w:r>
      <w:r>
        <w:rPr>
          <w:rFonts w:hint="eastAsia" w:ascii="仿宋_GB2312" w:hAnsi="仿宋_GB2312" w:eastAsia="仿宋_GB2312" w:cs="仿宋_GB2312"/>
          <w:spacing w:val="-6"/>
          <w:sz w:val="32"/>
          <w:szCs w:val="32"/>
          <w:lang w:val="en-US" w:eastAsia="zh-CN"/>
        </w:rPr>
        <w:t>导致</w:t>
      </w:r>
      <w:r>
        <w:rPr>
          <w:rFonts w:hint="eastAsia" w:ascii="仿宋_GB2312" w:hAnsi="仿宋_GB2312" w:eastAsia="仿宋_GB2312" w:cs="仿宋_GB2312"/>
          <w:spacing w:val="-6"/>
          <w:sz w:val="32"/>
          <w:szCs w:val="32"/>
        </w:rPr>
        <w:t>市场货源充足</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整体供应量</w:t>
      </w:r>
      <w:r>
        <w:rPr>
          <w:rFonts w:hint="eastAsia" w:ascii="仿宋_GB2312" w:hAnsi="仿宋_GB2312" w:eastAsia="仿宋_GB2312" w:cs="仿宋_GB2312"/>
          <w:spacing w:val="-6"/>
          <w:sz w:val="32"/>
          <w:szCs w:val="32"/>
          <w:lang w:val="en-US" w:eastAsia="zh-CN"/>
        </w:rPr>
        <w:t>较为</w:t>
      </w:r>
      <w:r>
        <w:rPr>
          <w:rFonts w:hint="eastAsia" w:ascii="仿宋_GB2312" w:hAnsi="仿宋_GB2312" w:eastAsia="仿宋_GB2312" w:cs="仿宋_GB2312"/>
          <w:spacing w:val="-6"/>
          <w:sz w:val="32"/>
          <w:szCs w:val="32"/>
        </w:rPr>
        <w:t>充裕。</w:t>
      </w:r>
      <w:r>
        <w:rPr>
          <w:rFonts w:hint="eastAsia" w:ascii="仿宋_GB2312" w:hAnsi="仿宋_GB2312" w:eastAsia="仿宋_GB2312" w:cs="仿宋_GB2312"/>
          <w:b/>
          <w:bCs/>
          <w:spacing w:val="-6"/>
          <w:sz w:val="32"/>
          <w:szCs w:val="32"/>
          <w:lang w:val="en-US" w:eastAsia="zh-CN"/>
        </w:rPr>
        <w:t>二是</w:t>
      </w:r>
      <w:r>
        <w:rPr>
          <w:rFonts w:hint="eastAsia" w:ascii="仿宋_GB2312" w:hAnsi="仿宋_GB2312" w:eastAsia="仿宋_GB2312" w:cs="仿宋_GB2312"/>
          <w:b/>
          <w:bCs/>
          <w:spacing w:val="-6"/>
          <w:sz w:val="32"/>
          <w:szCs w:val="32"/>
        </w:rPr>
        <w:t>需求处于淡季</w:t>
      </w:r>
      <w:r>
        <w:rPr>
          <w:rFonts w:hint="eastAsia" w:ascii="仿宋_GB2312" w:hAnsi="仿宋_GB2312" w:eastAsia="仿宋_GB2312" w:cs="仿宋_GB2312"/>
          <w:b/>
          <w:bCs/>
          <w:spacing w:val="-6"/>
          <w:sz w:val="32"/>
          <w:szCs w:val="32"/>
          <w:lang w:eastAsia="zh-CN"/>
        </w:rPr>
        <w:t>。</w:t>
      </w:r>
      <w:r>
        <w:rPr>
          <w:rFonts w:hint="eastAsia" w:ascii="仿宋_GB2312" w:hAnsi="仿宋_GB2312" w:eastAsia="仿宋_GB2312" w:cs="仿宋_GB2312"/>
          <w:spacing w:val="-6"/>
          <w:sz w:val="32"/>
          <w:szCs w:val="32"/>
        </w:rPr>
        <w:t>7月</w:t>
      </w:r>
      <w:r>
        <w:rPr>
          <w:rFonts w:hint="eastAsia" w:ascii="仿宋_GB2312" w:hAnsi="仿宋_GB2312" w:eastAsia="仿宋_GB2312" w:cs="仿宋_GB2312"/>
          <w:spacing w:val="-6"/>
          <w:sz w:val="32"/>
          <w:szCs w:val="32"/>
          <w:lang w:val="en-US" w:eastAsia="zh-CN"/>
        </w:rPr>
        <w:t>份</w:t>
      </w:r>
      <w:r>
        <w:rPr>
          <w:rFonts w:hint="eastAsia" w:ascii="仿宋_GB2312" w:hAnsi="仿宋_GB2312" w:eastAsia="仿宋_GB2312" w:cs="仿宋_GB2312"/>
          <w:spacing w:val="-6"/>
          <w:sz w:val="32"/>
          <w:szCs w:val="32"/>
        </w:rPr>
        <w:t>为传统消费淡季，农膜需求已结束旺季，包装膜、管材等领域需求平淡，下游企业以刚需采购为主，新增订单跟进不足，多数领域开工负荷处在低位，采购谨慎，刚需为主，整体需求不佳压制市场上行空间。</w:t>
      </w:r>
      <w:r>
        <w:rPr>
          <w:rFonts w:hint="eastAsia" w:ascii="仿宋_GB2312" w:hAnsi="仿宋_GB2312" w:eastAsia="仿宋_GB2312" w:cs="仿宋_GB2312"/>
          <w:b/>
          <w:bCs/>
          <w:spacing w:val="-6"/>
          <w:sz w:val="32"/>
          <w:szCs w:val="32"/>
          <w:lang w:val="en-US" w:eastAsia="zh-CN"/>
        </w:rPr>
        <w:t>三是</w:t>
      </w:r>
      <w:r>
        <w:rPr>
          <w:rFonts w:hint="eastAsia" w:ascii="仿宋_GB2312" w:hAnsi="仿宋_GB2312" w:eastAsia="仿宋_GB2312" w:cs="仿宋_GB2312"/>
          <w:b/>
          <w:bCs/>
          <w:spacing w:val="-6"/>
          <w:sz w:val="32"/>
          <w:szCs w:val="32"/>
        </w:rPr>
        <w:t>成本支撑偏弱</w:t>
      </w:r>
      <w:r>
        <w:rPr>
          <w:rFonts w:hint="eastAsia" w:ascii="仿宋_GB2312" w:hAnsi="仿宋_GB2312" w:eastAsia="仿宋_GB2312" w:cs="仿宋_GB2312"/>
          <w:b/>
          <w:bCs/>
          <w:spacing w:val="-6"/>
          <w:sz w:val="32"/>
          <w:szCs w:val="32"/>
          <w:lang w:eastAsia="zh-CN"/>
        </w:rPr>
        <w:t>。</w:t>
      </w:r>
      <w:r>
        <w:rPr>
          <w:rFonts w:hint="eastAsia" w:ascii="仿宋_GB2312" w:hAnsi="仿宋_GB2312" w:eastAsia="仿宋_GB2312" w:cs="仿宋_GB2312"/>
          <w:spacing w:val="-6"/>
          <w:sz w:val="32"/>
          <w:szCs w:val="32"/>
        </w:rPr>
        <w:t>本月国际原油价格震荡整理为主，波动幅度不大，</w:t>
      </w:r>
      <w:r>
        <w:rPr>
          <w:rFonts w:hint="eastAsia" w:ascii="仿宋_GB2312" w:hAnsi="仿宋_GB2312" w:eastAsia="仿宋_GB2312" w:cs="仿宋_GB2312"/>
          <w:spacing w:val="-6"/>
          <w:sz w:val="32"/>
          <w:szCs w:val="32"/>
          <w:lang w:val="en-US" w:eastAsia="zh-CN"/>
        </w:rPr>
        <w:t>加之</w:t>
      </w:r>
      <w:r>
        <w:rPr>
          <w:rFonts w:hint="eastAsia" w:ascii="仿宋_GB2312" w:hAnsi="仿宋_GB2312" w:eastAsia="仿宋_GB2312" w:cs="仿宋_GB2312"/>
          <w:spacing w:val="-6"/>
          <w:sz w:val="32"/>
          <w:szCs w:val="32"/>
        </w:rPr>
        <w:t>丙烷消费不振，PDH</w:t>
      </w:r>
      <w:r>
        <w:rPr>
          <w:rFonts w:hint="eastAsia" w:ascii="仿宋_GB2312" w:hAnsi="仿宋_GB2312" w:eastAsia="仿宋_GB2312" w:cs="仿宋_GB2312"/>
          <w:spacing w:val="-6"/>
          <w:sz w:val="32"/>
          <w:szCs w:val="32"/>
          <w:lang w:val="en-US" w:eastAsia="zh-CN"/>
        </w:rPr>
        <w:t>装置（丙烷脱氢装置）</w:t>
      </w:r>
      <w:r>
        <w:rPr>
          <w:rFonts w:hint="eastAsia" w:ascii="仿宋_GB2312" w:hAnsi="仿宋_GB2312" w:eastAsia="仿宋_GB2312" w:cs="仿宋_GB2312"/>
          <w:spacing w:val="-6"/>
          <w:sz w:val="32"/>
          <w:szCs w:val="32"/>
        </w:rPr>
        <w:t>企业成本支撑回落；丙烯因投产与复工增加行情承压，叠加进口低价货</w:t>
      </w:r>
      <w:r>
        <w:rPr>
          <w:rFonts w:hint="eastAsia" w:ascii="仿宋_GB2312" w:hAnsi="仿宋_GB2312" w:eastAsia="仿宋_GB2312" w:cs="仿宋_GB2312"/>
          <w:spacing w:val="-6"/>
          <w:sz w:val="32"/>
          <w:szCs w:val="32"/>
          <w:lang w:val="en-US" w:eastAsia="zh-CN"/>
        </w:rPr>
        <w:t>源</w:t>
      </w:r>
      <w:r>
        <w:rPr>
          <w:rFonts w:hint="eastAsia" w:ascii="仿宋_GB2312" w:hAnsi="仿宋_GB2312" w:eastAsia="仿宋_GB2312" w:cs="仿宋_GB2312"/>
          <w:spacing w:val="-6"/>
          <w:sz w:val="32"/>
          <w:szCs w:val="32"/>
        </w:rPr>
        <w:t>冲击，进一步压制</w:t>
      </w:r>
      <w:r>
        <w:rPr>
          <w:rFonts w:hint="eastAsia" w:ascii="仿宋_GB2312" w:hAnsi="仿宋_GB2312" w:eastAsia="仿宋_GB2312" w:cs="仿宋_GB2312"/>
          <w:spacing w:val="-6"/>
          <w:sz w:val="32"/>
          <w:szCs w:val="32"/>
          <w:lang w:val="en-US" w:eastAsia="zh-CN"/>
        </w:rPr>
        <w:t>了PE、PP</w:t>
      </w:r>
      <w:r>
        <w:rPr>
          <w:rFonts w:hint="eastAsia" w:ascii="仿宋_GB2312" w:hAnsi="仿宋_GB2312" w:eastAsia="仿宋_GB2312" w:cs="仿宋_GB2312"/>
          <w:spacing w:val="-6"/>
          <w:sz w:val="32"/>
          <w:szCs w:val="32"/>
        </w:rPr>
        <w:t>价格。综合以上，7月份虽因检修供应收紧，但仍为销售淡季，需求不足，聚烯烃市场偏弱震荡</w:t>
      </w:r>
      <w:r>
        <w:rPr>
          <w:rFonts w:hint="eastAsia" w:ascii="仿宋_GB2312" w:hAnsi="仿宋_GB2312" w:eastAsia="仿宋_GB2312" w:cs="仿宋_GB2312"/>
          <w:spacing w:val="-6"/>
          <w:sz w:val="32"/>
          <w:szCs w:val="32"/>
          <w:lang w:val="en-US" w:eastAsia="zh-CN"/>
        </w:rPr>
        <w:t>为主</w:t>
      </w:r>
      <w:r>
        <w:rPr>
          <w:rFonts w:hint="eastAsia" w:ascii="仿宋_GB2312" w:hAnsi="仿宋_GB2312" w:eastAsia="仿宋_GB2312" w:cs="仿宋_GB2312"/>
          <w:spacing w:val="-6"/>
          <w:sz w:val="32"/>
          <w:szCs w:val="32"/>
        </w:rPr>
        <w:t>。‌‌</w:t>
      </w:r>
      <w:r>
        <w:rPr>
          <w:rFonts w:hint="eastAsia" w:ascii="仿宋_GB2312" w:hAnsi="仿宋_GB2312" w:eastAsia="仿宋_GB2312" w:cs="仿宋_GB2312"/>
          <w:b/>
          <w:bCs/>
          <w:spacing w:val="-6"/>
          <w:sz w:val="32"/>
          <w:szCs w:val="32"/>
        </w:rPr>
        <w:t>预计</w:t>
      </w:r>
      <w:r>
        <w:rPr>
          <w:rFonts w:hint="eastAsia" w:ascii="仿宋_GB2312" w:hAnsi="仿宋_GB2312" w:eastAsia="仿宋_GB2312" w:cs="仿宋_GB2312"/>
          <w:spacing w:val="-6"/>
          <w:sz w:val="32"/>
          <w:szCs w:val="32"/>
        </w:rPr>
        <w:t>下月我市PE</w:t>
      </w:r>
      <w:r>
        <w:rPr>
          <w:rFonts w:hint="eastAsia" w:ascii="仿宋_GB2312" w:hAnsi="仿宋_GB2312" w:eastAsia="仿宋_GB2312" w:cs="仿宋_GB2312"/>
          <w:spacing w:val="-6"/>
          <w:sz w:val="32"/>
          <w:szCs w:val="32"/>
          <w:lang w:val="en-US" w:eastAsia="zh-CN"/>
        </w:rPr>
        <w:t>价格重心走高</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val="en-US" w:eastAsia="zh-CN"/>
        </w:rPr>
        <w:t>呈震荡上涨趋势；</w:t>
      </w:r>
      <w:r>
        <w:rPr>
          <w:rFonts w:hint="eastAsia" w:ascii="仿宋_GB2312" w:hAnsi="仿宋_GB2312" w:eastAsia="仿宋_GB2312" w:cs="仿宋_GB2312"/>
          <w:spacing w:val="-6"/>
          <w:sz w:val="32"/>
          <w:szCs w:val="32"/>
        </w:rPr>
        <w:t>PP</w:t>
      </w:r>
      <w:r>
        <w:rPr>
          <w:rFonts w:hint="eastAsia" w:ascii="仿宋_GB2312" w:hAnsi="仿宋_GB2312" w:eastAsia="仿宋_GB2312" w:cs="仿宋_GB2312"/>
          <w:spacing w:val="-6"/>
          <w:sz w:val="32"/>
          <w:szCs w:val="32"/>
          <w:lang w:val="en-US" w:eastAsia="zh-CN"/>
        </w:rPr>
        <w:t>受供应压力与需求复苏博弈，</w:t>
      </w:r>
      <w:r>
        <w:rPr>
          <w:rFonts w:hint="eastAsia" w:ascii="仿宋_GB2312" w:hAnsi="仿宋_GB2312" w:eastAsia="仿宋_GB2312" w:cs="仿宋_GB2312"/>
          <w:spacing w:val="-6"/>
          <w:sz w:val="32"/>
          <w:szCs w:val="32"/>
        </w:rPr>
        <w:t>或将延续震荡</w:t>
      </w:r>
      <w:r>
        <w:rPr>
          <w:rFonts w:hint="eastAsia" w:ascii="仿宋_GB2312" w:hAnsi="仿宋_GB2312" w:eastAsia="仿宋_GB2312" w:cs="仿宋_GB2312"/>
          <w:spacing w:val="-6"/>
          <w:sz w:val="32"/>
          <w:szCs w:val="32"/>
          <w:lang w:val="en-US" w:eastAsia="zh-CN"/>
        </w:rPr>
        <w:t>偏弱</w:t>
      </w:r>
      <w:r>
        <w:rPr>
          <w:rFonts w:hint="eastAsia" w:ascii="仿宋_GB2312" w:hAnsi="仿宋_GB2312" w:eastAsia="仿宋_GB2312" w:cs="仿宋_GB2312"/>
          <w:spacing w:val="-6"/>
          <w:sz w:val="32"/>
          <w:szCs w:val="32"/>
        </w:rPr>
        <w:t>走势</w:t>
      </w:r>
      <w:r>
        <w:rPr>
          <w:rFonts w:hint="eastAsia" w:ascii="仿宋_GB2312" w:hAnsi="仿宋_GB2312" w:eastAsia="仿宋_GB2312" w:cs="仿宋_GB2312"/>
          <w:spacing w:val="-6"/>
          <w:sz w:val="32"/>
          <w:szCs w:val="32"/>
          <w:lang w:val="en-US" w:eastAsia="zh-CN"/>
        </w:rPr>
        <w:t>为主</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后期需</w:t>
      </w:r>
      <w:r>
        <w:rPr>
          <w:rFonts w:hint="eastAsia" w:ascii="仿宋_GB2312" w:hAnsi="仿宋_GB2312" w:eastAsia="仿宋_GB2312" w:cs="仿宋_GB2312"/>
          <w:sz w:val="32"/>
          <w:szCs w:val="32"/>
          <w:lang w:val="en-US" w:eastAsia="zh-CN"/>
        </w:rPr>
        <w:t>继续</w:t>
      </w:r>
      <w:r>
        <w:rPr>
          <w:rFonts w:hint="eastAsia" w:ascii="仿宋_GB2312" w:hAnsi="仿宋_GB2312" w:eastAsia="仿宋_GB2312" w:cs="仿宋_GB2312"/>
          <w:sz w:val="32"/>
          <w:szCs w:val="32"/>
        </w:rPr>
        <w:t>关注原油价格波动及</w:t>
      </w:r>
      <w:r>
        <w:rPr>
          <w:rFonts w:hint="eastAsia" w:ascii="仿宋_GB2312" w:hAnsi="仿宋_GB2312" w:eastAsia="仿宋_GB2312" w:cs="仿宋_GB2312"/>
          <w:sz w:val="32"/>
          <w:szCs w:val="32"/>
          <w:lang w:val="en-US" w:eastAsia="zh-CN"/>
        </w:rPr>
        <w:t>宏观政策</w:t>
      </w:r>
      <w:r>
        <w:rPr>
          <w:rFonts w:hint="eastAsia" w:ascii="仿宋_GB2312" w:hAnsi="仿宋_GB2312" w:eastAsia="仿宋_GB2312" w:cs="仿宋_GB2312"/>
          <w:sz w:val="32"/>
          <w:szCs w:val="32"/>
        </w:rPr>
        <w:t>变化情况。</w:t>
      </w:r>
      <w:r>
        <w:rPr>
          <w:rFonts w:hint="eastAsia"/>
        </w:rPr>
        <w:t>‌</w:t>
      </w:r>
      <w:r>
        <w:drawing>
          <wp:inline distT="0" distB="0" distL="114300" distR="114300">
            <wp:extent cx="5854700" cy="2750820"/>
            <wp:effectExtent l="4445" t="4445" r="8255" b="6985"/>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40FDF2F">
      <w:pPr>
        <w:snapToGrid w:val="0"/>
        <w:spacing w:line="360" w:lineRule="auto"/>
        <w:ind w:firstLine="640"/>
        <w:textAlignment w:val="baseline"/>
      </w:pPr>
      <w:r>
        <w:rPr>
          <w:rFonts w:hint="eastAsia" w:ascii="仿宋_GB2312" w:hAnsi="仿宋_GB2312" w:eastAsia="仿宋_GB2312" w:cs="仿宋_GB2312"/>
          <w:color w:val="222222"/>
          <w:sz w:val="32"/>
          <w:szCs w:val="32"/>
          <w:shd w:val="clear" w:color="auto" w:fill="FFFFFF"/>
          <w:lang w:val="en-US" w:eastAsia="zh-CN"/>
        </w:rPr>
        <w:t>7</w:t>
      </w:r>
      <w:r>
        <w:rPr>
          <w:rFonts w:hint="eastAsia" w:ascii="仿宋_GB2312" w:hAnsi="仿宋_GB2312" w:eastAsia="仿宋_GB2312" w:cs="仿宋_GB2312"/>
          <w:color w:val="222222"/>
          <w:sz w:val="32"/>
          <w:szCs w:val="32"/>
          <w:shd w:val="clear" w:color="auto" w:fill="FFFFFF"/>
        </w:rPr>
        <w:t>月份我市甲醇市场价格重心小幅</w:t>
      </w:r>
      <w:r>
        <w:rPr>
          <w:rFonts w:hint="eastAsia" w:ascii="仿宋_GB2312" w:hAnsi="仿宋_GB2312" w:eastAsia="仿宋_GB2312" w:cs="仿宋_GB2312"/>
          <w:color w:val="222222"/>
          <w:sz w:val="32"/>
          <w:szCs w:val="32"/>
          <w:shd w:val="clear" w:color="auto" w:fill="FFFFFF"/>
          <w:lang w:val="en-US" w:eastAsia="zh-CN"/>
        </w:rPr>
        <w:t>上行</w:t>
      </w:r>
      <w:r>
        <w:rPr>
          <w:rFonts w:hint="eastAsia" w:ascii="仿宋_GB2312" w:hAnsi="仿宋_GB2312" w:eastAsia="仿宋_GB2312" w:cs="仿宋_GB2312"/>
          <w:color w:val="222222"/>
          <w:sz w:val="32"/>
          <w:szCs w:val="32"/>
          <w:shd w:val="clear" w:color="auto" w:fill="FFFFFF"/>
        </w:rPr>
        <w:t>。</w:t>
      </w:r>
      <w:r>
        <w:rPr>
          <w:rFonts w:hint="eastAsia" w:ascii="仿宋_GB2312" w:hAnsi="仿宋_GB2312" w:eastAsia="仿宋_GB2312" w:cs="仿宋_GB2312"/>
          <w:b/>
          <w:bCs/>
          <w:color w:val="222222"/>
          <w:sz w:val="32"/>
          <w:szCs w:val="32"/>
          <w:shd w:val="clear" w:color="auto" w:fill="FFFFFF"/>
        </w:rPr>
        <w:t>主要原因分析：一是</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成本端支撑增强。</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本</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月煤炭价格大幅上涨，直接提升了甲醇的生产成本；</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加之</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煤制甲醇利润扩大，部分企业因检修计划推迟开工率降至71%，供应减少叠加成本支撑，推动价格上行。</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二是</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宏观情绪推动。</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市场受“反内卷”政策影响情绪高涨，商品普遍上涨，甲醇期货持仓量增加、资金流入，短期价格受情绪面影响波动放大。</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三是</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进口压力缓解。</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伊朗甲醇装置因地缘冲突多数停车，进口减少预期推动港口价格走高。虽然下旬伊朗装置重启，但阶段性供应紧张仍对价格形成支撑。</w:t>
      </w:r>
      <w:r>
        <w:rPr>
          <w:rFonts w:hint="eastAsia" w:ascii="仿宋_GB2312" w:hAnsi="仿宋_GB2312" w:eastAsia="仿宋_GB2312" w:cs="仿宋_GB2312"/>
          <w:b/>
          <w:bCs/>
          <w:color w:val="222222"/>
          <w:sz w:val="32"/>
          <w:szCs w:val="32"/>
          <w:shd w:val="clear" w:color="auto" w:fill="FFFFFF"/>
        </w:rPr>
        <w:t>预计</w:t>
      </w:r>
      <w:r>
        <w:rPr>
          <w:rFonts w:hint="eastAsia" w:ascii="仿宋_GB2312" w:hAnsi="仿宋_GB2312" w:eastAsia="仿宋_GB2312" w:cs="仿宋_GB2312"/>
          <w:color w:val="222222"/>
          <w:sz w:val="32"/>
          <w:szCs w:val="32"/>
          <w:shd w:val="clear" w:color="auto" w:fill="FFFFFF"/>
        </w:rPr>
        <w:t>短期内我市甲醇市场行情或将在窄幅区间</w:t>
      </w:r>
      <w:r>
        <w:rPr>
          <w:rFonts w:hint="eastAsia" w:ascii="仿宋_GB2312" w:hAnsi="仿宋_GB2312" w:eastAsia="仿宋_GB2312" w:cs="仿宋_GB2312"/>
          <w:color w:val="222222"/>
          <w:sz w:val="32"/>
          <w:szCs w:val="32"/>
          <w:shd w:val="clear" w:color="auto" w:fill="FFFFFF"/>
          <w:lang w:val="en-US" w:eastAsia="zh-CN"/>
        </w:rPr>
        <w:t>偏弱</w:t>
      </w:r>
      <w:r>
        <w:rPr>
          <w:rFonts w:hint="eastAsia" w:ascii="仿宋_GB2312" w:hAnsi="仿宋_GB2312" w:eastAsia="仿宋_GB2312" w:cs="仿宋_GB2312"/>
          <w:color w:val="222222"/>
          <w:sz w:val="32"/>
          <w:szCs w:val="32"/>
          <w:shd w:val="clear" w:color="auto" w:fill="FFFFFF"/>
        </w:rPr>
        <w:t>震荡</w:t>
      </w:r>
      <w:r>
        <w:rPr>
          <w:rFonts w:hint="eastAsia" w:ascii="仿宋_GB2312" w:hAnsi="仿宋_GB2312" w:eastAsia="仿宋_GB2312" w:cs="仿宋_GB2312"/>
          <w:color w:val="222222"/>
          <w:sz w:val="32"/>
          <w:szCs w:val="32"/>
          <w:shd w:val="clear" w:color="auto" w:fill="FFFFFF"/>
          <w:lang w:val="en-US" w:eastAsia="zh-CN"/>
        </w:rPr>
        <w:t>为主，后期需关注港口累库持续性继宏观政策影响，若库存压力缓解或检修扩大，可能转入区间震荡走势</w:t>
      </w:r>
      <w:r>
        <w:rPr>
          <w:rFonts w:hint="eastAsia" w:ascii="仿宋_GB2312" w:hAnsi="仿宋_GB2312" w:eastAsia="仿宋_GB2312" w:cs="仿宋_GB2312"/>
          <w:color w:val="222222"/>
          <w:sz w:val="32"/>
          <w:szCs w:val="32"/>
          <w:shd w:val="clear" w:color="auto" w:fill="FFFFFF"/>
        </w:rPr>
        <w:t>。</w:t>
      </w:r>
    </w:p>
    <w:p w14:paraId="4FF1ED4F">
      <w:pPr>
        <w:snapToGrid w:val="0"/>
        <w:spacing w:line="360" w:lineRule="auto"/>
        <w:ind w:firstLine="0" w:firstLineChars="0"/>
        <w:textAlignment w:val="baseline"/>
        <w:rPr>
          <w:rFonts w:hint="eastAsia" w:ascii="仿宋_GB2312" w:hAnsi="仿宋_GB2312" w:eastAsia="仿宋_GB2312" w:cs="仿宋_GB2312"/>
          <w:spacing w:val="-6"/>
          <w:sz w:val="32"/>
          <w:szCs w:val="32"/>
        </w:rPr>
      </w:pPr>
      <w:r>
        <w:drawing>
          <wp:inline distT="0" distB="0" distL="114300" distR="114300">
            <wp:extent cx="5544820" cy="2369185"/>
            <wp:effectExtent l="4445" t="4445" r="13335" b="7620"/>
            <wp:docPr id="15"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F29C45F">
      <w:pPr>
        <w:snapToGrid w:val="0"/>
        <w:spacing w:line="360" w:lineRule="auto"/>
        <w:ind w:firstLine="616"/>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lang w:val="en-US" w:eastAsia="zh-CN"/>
        </w:rPr>
        <w:t>7</w:t>
      </w:r>
      <w:r>
        <w:rPr>
          <w:rFonts w:hint="eastAsia" w:ascii="仿宋_GB2312" w:hAnsi="仿宋_GB2312" w:eastAsia="仿宋_GB2312" w:cs="仿宋_GB2312"/>
          <w:spacing w:val="-6"/>
          <w:sz w:val="32"/>
          <w:szCs w:val="32"/>
        </w:rPr>
        <w:t>月份我市烧碱市场价格</w:t>
      </w:r>
      <w:r>
        <w:rPr>
          <w:rFonts w:hint="eastAsia" w:ascii="仿宋_GB2312" w:hAnsi="仿宋_GB2312" w:eastAsia="仿宋_GB2312" w:cs="仿宋_GB2312"/>
          <w:spacing w:val="-6"/>
          <w:sz w:val="32"/>
          <w:szCs w:val="32"/>
          <w:lang w:val="en-US" w:eastAsia="zh-CN"/>
        </w:rPr>
        <w:t>重心</w:t>
      </w:r>
      <w:r>
        <w:rPr>
          <w:rFonts w:hint="eastAsia" w:ascii="仿宋_GB2312" w:hAnsi="仿宋_GB2312" w:eastAsia="仿宋_GB2312" w:cs="仿宋_GB2312"/>
          <w:spacing w:val="-6"/>
          <w:sz w:val="32"/>
          <w:szCs w:val="32"/>
        </w:rPr>
        <w:t>小幅</w:t>
      </w:r>
      <w:r>
        <w:rPr>
          <w:rFonts w:hint="eastAsia" w:ascii="仿宋_GB2312" w:hAnsi="仿宋_GB2312" w:eastAsia="仿宋_GB2312" w:cs="仿宋_GB2312"/>
          <w:spacing w:val="-6"/>
          <w:sz w:val="32"/>
          <w:szCs w:val="32"/>
          <w:lang w:val="en-US" w:eastAsia="zh-CN"/>
        </w:rPr>
        <w:t>下</w:t>
      </w:r>
      <w:r>
        <w:rPr>
          <w:rFonts w:hint="eastAsia" w:ascii="仿宋_GB2312" w:hAnsi="仿宋_GB2312" w:eastAsia="仿宋_GB2312" w:cs="仿宋_GB2312"/>
          <w:spacing w:val="-6"/>
          <w:sz w:val="32"/>
          <w:szCs w:val="32"/>
        </w:rPr>
        <w:t>行。</w:t>
      </w:r>
      <w:r>
        <w:rPr>
          <w:rFonts w:hint="eastAsia" w:ascii="仿宋_GB2312" w:hAnsi="仿宋_GB2312" w:eastAsia="仿宋_GB2312" w:cs="仿宋_GB2312"/>
          <w:b/>
          <w:bCs/>
          <w:spacing w:val="-6"/>
          <w:sz w:val="32"/>
          <w:szCs w:val="32"/>
        </w:rPr>
        <w:t>主要原因分析：一是</w:t>
      </w:r>
      <w:r>
        <w:rPr>
          <w:rFonts w:hint="eastAsia" w:ascii="仿宋_GB2312" w:hAnsi="仿宋_GB2312" w:eastAsia="仿宋_GB2312" w:cs="仿宋_GB2312"/>
          <w:b/>
          <w:bCs/>
          <w:spacing w:val="-6"/>
          <w:sz w:val="32"/>
          <w:szCs w:val="32"/>
          <w:lang w:eastAsia="zh-CN"/>
        </w:rPr>
        <w:t>供应端压力增大。</w:t>
      </w:r>
      <w:r>
        <w:rPr>
          <w:rFonts w:hint="eastAsia" w:ascii="仿宋_GB2312" w:hAnsi="仿宋_GB2312" w:eastAsia="仿宋_GB2312" w:cs="仿宋_GB2312"/>
          <w:spacing w:val="-6"/>
          <w:sz w:val="32"/>
          <w:szCs w:val="32"/>
          <w:lang w:val="en-US" w:eastAsia="zh-CN"/>
        </w:rPr>
        <w:t>近期以来</w:t>
      </w:r>
      <w:r>
        <w:rPr>
          <w:rFonts w:hint="eastAsia" w:ascii="仿宋_GB2312" w:hAnsi="仿宋_GB2312" w:eastAsia="仿宋_GB2312" w:cs="仿宋_GB2312"/>
          <w:spacing w:val="-6"/>
          <w:sz w:val="32"/>
          <w:szCs w:val="32"/>
          <w:lang w:eastAsia="zh-CN"/>
        </w:rPr>
        <w:t>烧碱产能持续扩张，新建装置投产导致市场供应大幅增加，加剧了供过于求的局面。同时，西北及西南地区部分企业检修力度不足，无法缓解供应压力。</w:t>
      </w:r>
      <w:r>
        <w:rPr>
          <w:rFonts w:hint="eastAsia" w:ascii="仿宋_GB2312" w:hAnsi="仿宋_GB2312" w:eastAsia="仿宋_GB2312" w:cs="仿宋_GB2312"/>
          <w:b/>
          <w:bCs/>
          <w:spacing w:val="-6"/>
          <w:sz w:val="32"/>
          <w:szCs w:val="32"/>
          <w:lang w:val="en-US" w:eastAsia="zh-CN"/>
        </w:rPr>
        <w:t>二是</w:t>
      </w:r>
      <w:r>
        <w:rPr>
          <w:rFonts w:hint="eastAsia" w:ascii="仿宋_GB2312" w:hAnsi="仿宋_GB2312" w:eastAsia="仿宋_GB2312" w:cs="仿宋_GB2312"/>
          <w:b/>
          <w:bCs/>
          <w:spacing w:val="-6"/>
          <w:sz w:val="32"/>
          <w:szCs w:val="32"/>
          <w:lang w:eastAsia="zh-CN"/>
        </w:rPr>
        <w:t>需求端增长乏力。</w:t>
      </w:r>
      <w:r>
        <w:rPr>
          <w:rFonts w:hint="eastAsia" w:ascii="仿宋_GB2312" w:hAnsi="仿宋_GB2312" w:eastAsia="仿宋_GB2312" w:cs="仿宋_GB2312"/>
          <w:spacing w:val="-6"/>
          <w:sz w:val="32"/>
          <w:szCs w:val="32"/>
          <w:lang w:eastAsia="zh-CN"/>
        </w:rPr>
        <w:t>下游行业需求疲软，造纸、印染等传统领域采购量减少，而光伏玻璃企业计划减产30%，进一步抑制了重碱需求。轻碱需求也受宏观经济不确定性影响，整体需求增速无法弥补供应缺口。</w:t>
      </w:r>
      <w:r>
        <w:rPr>
          <w:rFonts w:hint="eastAsia" w:ascii="仿宋_GB2312" w:hAnsi="仿宋_GB2312" w:eastAsia="仿宋_GB2312" w:cs="仿宋_GB2312"/>
          <w:b/>
          <w:bCs/>
          <w:spacing w:val="-6"/>
          <w:sz w:val="32"/>
          <w:szCs w:val="32"/>
          <w:lang w:val="en-US" w:eastAsia="zh-CN"/>
        </w:rPr>
        <w:t>三是</w:t>
      </w:r>
      <w:r>
        <w:rPr>
          <w:rFonts w:hint="eastAsia" w:ascii="仿宋_GB2312" w:hAnsi="仿宋_GB2312" w:eastAsia="仿宋_GB2312" w:cs="仿宋_GB2312"/>
          <w:b/>
          <w:bCs/>
          <w:spacing w:val="-6"/>
          <w:sz w:val="32"/>
          <w:szCs w:val="32"/>
          <w:lang w:eastAsia="zh-CN"/>
        </w:rPr>
        <w:t>库存高位压制价格。</w:t>
      </w:r>
      <w:r>
        <w:rPr>
          <w:rFonts w:hint="eastAsia" w:ascii="仿宋_GB2312" w:hAnsi="仿宋_GB2312" w:eastAsia="仿宋_GB2312" w:cs="仿宋_GB2312"/>
          <w:spacing w:val="-6"/>
          <w:sz w:val="32"/>
          <w:szCs w:val="32"/>
          <w:lang w:eastAsia="zh-CN"/>
        </w:rPr>
        <w:t>截至7月</w:t>
      </w:r>
      <w:r>
        <w:rPr>
          <w:rFonts w:hint="eastAsia" w:ascii="仿宋_GB2312" w:hAnsi="仿宋_GB2312" w:eastAsia="仿宋_GB2312" w:cs="仿宋_GB2312"/>
          <w:spacing w:val="-6"/>
          <w:sz w:val="32"/>
          <w:szCs w:val="32"/>
          <w:lang w:val="en-US" w:eastAsia="zh-CN"/>
        </w:rPr>
        <w:t>中旬</w:t>
      </w:r>
      <w:r>
        <w:rPr>
          <w:rFonts w:hint="eastAsia" w:ascii="仿宋_GB2312" w:hAnsi="仿宋_GB2312" w:eastAsia="仿宋_GB2312" w:cs="仿宋_GB2312"/>
          <w:spacing w:val="-6"/>
          <w:sz w:val="32"/>
          <w:szCs w:val="32"/>
          <w:lang w:eastAsia="zh-CN"/>
        </w:rPr>
        <w:t>，国内烧碱厂家库存接近历史高位，供应过剩与需求疲软形成</w:t>
      </w:r>
      <w:r>
        <w:rPr>
          <w:rFonts w:hint="eastAsia" w:ascii="仿宋_GB2312" w:hAnsi="仿宋_GB2312" w:eastAsia="仿宋_GB2312" w:cs="仿宋_GB2312"/>
          <w:spacing w:val="-6"/>
          <w:sz w:val="32"/>
          <w:szCs w:val="32"/>
          <w:lang w:val="en-US" w:eastAsia="zh-CN"/>
        </w:rPr>
        <w:t>较大</w:t>
      </w:r>
      <w:r>
        <w:rPr>
          <w:rFonts w:hint="eastAsia" w:ascii="仿宋_GB2312" w:hAnsi="仿宋_GB2312" w:eastAsia="仿宋_GB2312" w:cs="仿宋_GB2312"/>
          <w:spacing w:val="-6"/>
          <w:sz w:val="32"/>
          <w:szCs w:val="32"/>
          <w:lang w:eastAsia="zh-CN"/>
        </w:rPr>
        <w:t>矛盾，导致价格承压</w:t>
      </w:r>
      <w:r>
        <w:rPr>
          <w:rFonts w:hint="eastAsia" w:ascii="仿宋_GB2312" w:hAnsi="仿宋_GB2312" w:eastAsia="仿宋_GB2312" w:cs="仿宋_GB2312"/>
          <w:spacing w:val="-6"/>
          <w:sz w:val="32"/>
          <w:szCs w:val="32"/>
          <w:lang w:val="en-US" w:eastAsia="zh-CN"/>
        </w:rPr>
        <w:t>下行</w:t>
      </w:r>
      <w:r>
        <w:rPr>
          <w:rFonts w:hint="eastAsia" w:ascii="仿宋_GB2312" w:hAnsi="仿宋_GB2312" w:eastAsia="仿宋_GB2312" w:cs="仿宋_GB2312"/>
          <w:spacing w:val="-6"/>
          <w:sz w:val="32"/>
          <w:szCs w:val="32"/>
          <w:lang w:eastAsia="zh-CN"/>
        </w:rPr>
        <w:t>。尽管部分企业尝试减产，但效果</w:t>
      </w:r>
      <w:r>
        <w:rPr>
          <w:rFonts w:hint="eastAsia" w:ascii="仿宋_GB2312" w:hAnsi="仿宋_GB2312" w:eastAsia="仿宋_GB2312" w:cs="仿宋_GB2312"/>
          <w:spacing w:val="-6"/>
          <w:sz w:val="32"/>
          <w:szCs w:val="32"/>
          <w:lang w:val="en-US" w:eastAsia="zh-CN"/>
        </w:rPr>
        <w:t>较为</w:t>
      </w:r>
      <w:r>
        <w:rPr>
          <w:rFonts w:hint="eastAsia" w:ascii="仿宋_GB2312" w:hAnsi="仿宋_GB2312" w:eastAsia="仿宋_GB2312" w:cs="仿宋_GB2312"/>
          <w:spacing w:val="-6"/>
          <w:sz w:val="32"/>
          <w:szCs w:val="32"/>
          <w:lang w:eastAsia="zh-CN"/>
        </w:rPr>
        <w:t>有限。</w:t>
      </w:r>
      <w:r>
        <w:rPr>
          <w:rFonts w:hint="eastAsia" w:ascii="仿宋_GB2312" w:hAnsi="仿宋_GB2312" w:eastAsia="仿宋_GB2312" w:cs="仿宋_GB2312"/>
          <w:b/>
          <w:bCs/>
          <w:spacing w:val="-6"/>
          <w:sz w:val="32"/>
          <w:szCs w:val="32"/>
          <w:lang w:val="en-US" w:eastAsia="zh-CN"/>
        </w:rPr>
        <w:t>四是</w:t>
      </w:r>
      <w:r>
        <w:rPr>
          <w:rFonts w:hint="eastAsia" w:ascii="仿宋_GB2312" w:hAnsi="仿宋_GB2312" w:eastAsia="仿宋_GB2312" w:cs="仿宋_GB2312"/>
          <w:b/>
          <w:bCs/>
          <w:spacing w:val="-6"/>
          <w:sz w:val="32"/>
          <w:szCs w:val="32"/>
          <w:lang w:eastAsia="zh-CN"/>
        </w:rPr>
        <w:t>成本与利润因素。</w:t>
      </w:r>
      <w:r>
        <w:rPr>
          <w:rFonts w:hint="eastAsia" w:ascii="仿宋_GB2312" w:hAnsi="仿宋_GB2312" w:eastAsia="仿宋_GB2312" w:cs="仿宋_GB2312"/>
          <w:spacing w:val="-6"/>
          <w:sz w:val="32"/>
          <w:szCs w:val="32"/>
          <w:lang w:eastAsia="zh-CN"/>
        </w:rPr>
        <w:t>电价和原料成本维持低位，部分地区电价降至0.55元/度，进一步压缩生产成本压力。但利润空间仍不足以刺激减产意愿，反而加剧了市场供应压力。</w:t>
      </w:r>
      <w:r>
        <w:rPr>
          <w:rFonts w:hint="eastAsia" w:ascii="仿宋_GB2312" w:hAnsi="仿宋_GB2312" w:eastAsia="仿宋_GB2312" w:cs="仿宋_GB2312"/>
          <w:b/>
          <w:bCs/>
          <w:spacing w:val="-6"/>
          <w:sz w:val="32"/>
          <w:szCs w:val="32"/>
          <w:lang w:eastAsia="zh-CN"/>
        </w:rPr>
        <w:t>‌</w:t>
      </w:r>
      <w:r>
        <w:rPr>
          <w:rFonts w:hint="eastAsia" w:ascii="仿宋_GB2312" w:hAnsi="仿宋_GB2312" w:eastAsia="仿宋_GB2312" w:cs="仿宋_GB2312"/>
          <w:b/>
          <w:bCs/>
          <w:sz w:val="32"/>
          <w:szCs w:val="32"/>
          <w:lang w:val="en-US" w:eastAsia="zh-CN"/>
        </w:rPr>
        <w:t>预计</w:t>
      </w:r>
      <w:r>
        <w:rPr>
          <w:rFonts w:hint="eastAsia" w:ascii="仿宋_GB2312" w:hAnsi="仿宋_GB2312" w:eastAsia="仿宋_GB2312" w:cs="仿宋_GB2312"/>
          <w:sz w:val="32"/>
          <w:szCs w:val="32"/>
          <w:lang w:val="en-US" w:eastAsia="zh-CN"/>
        </w:rPr>
        <w:t>下月我市烧碱市场价格或将呈偏弱下行走势。</w:t>
      </w:r>
    </w:p>
    <w:p w14:paraId="505F2DBA">
      <w:pPr>
        <w:pStyle w:val="2"/>
        <w:ind w:firstLine="0" w:firstLineChars="0"/>
      </w:pPr>
      <w:r>
        <w:drawing>
          <wp:inline distT="0" distB="0" distL="114300" distR="114300">
            <wp:extent cx="5485130" cy="2454275"/>
            <wp:effectExtent l="4445" t="4445" r="15875" b="17780"/>
            <wp:docPr id="16"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89E5D4D">
      <w:pPr>
        <w:snapToGrid w:val="0"/>
        <w:spacing w:line="360" w:lineRule="auto"/>
        <w:ind w:right="-27" w:firstLine="616"/>
        <w:jc w:val="left"/>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本月我市硅铁</w:t>
      </w:r>
      <w:r>
        <w:rPr>
          <w:rFonts w:hint="eastAsia" w:ascii="仿宋_GB2312" w:hAnsi="仿宋_GB2312" w:eastAsia="仿宋_GB2312" w:cs="仿宋_GB2312"/>
          <w:spacing w:val="-6"/>
          <w:sz w:val="32"/>
          <w:szCs w:val="32"/>
          <w:lang w:val="en-US" w:eastAsia="zh-CN"/>
        </w:rPr>
        <w:t>市场价格大幅上涨</w:t>
      </w:r>
      <w:r>
        <w:rPr>
          <w:rFonts w:hint="eastAsia" w:ascii="仿宋_GB2312" w:hAnsi="仿宋_GB2312" w:eastAsia="仿宋_GB2312" w:cs="仿宋_GB2312"/>
          <w:spacing w:val="-6"/>
          <w:sz w:val="32"/>
          <w:szCs w:val="32"/>
        </w:rPr>
        <w:t>、金属镁</w:t>
      </w:r>
      <w:r>
        <w:rPr>
          <w:rFonts w:hint="eastAsia" w:ascii="仿宋_GB2312" w:hAnsi="仿宋_GB2312" w:eastAsia="仿宋_GB2312" w:cs="仿宋_GB2312"/>
          <w:spacing w:val="-6"/>
          <w:sz w:val="32"/>
          <w:szCs w:val="32"/>
          <w:lang w:val="en-US" w:eastAsia="zh-CN"/>
        </w:rPr>
        <w:t>市场</w:t>
      </w:r>
      <w:r>
        <w:rPr>
          <w:rFonts w:hint="eastAsia" w:ascii="仿宋_GB2312" w:hAnsi="仿宋_GB2312" w:eastAsia="仿宋_GB2312" w:cs="仿宋_GB2312"/>
          <w:spacing w:val="-6"/>
          <w:sz w:val="32"/>
          <w:szCs w:val="32"/>
        </w:rPr>
        <w:t>价格</w:t>
      </w:r>
      <w:r>
        <w:rPr>
          <w:rFonts w:hint="eastAsia" w:ascii="仿宋_GB2312" w:hAnsi="仿宋_GB2312" w:eastAsia="仿宋_GB2312" w:cs="仿宋_GB2312"/>
          <w:spacing w:val="-6"/>
          <w:sz w:val="32"/>
          <w:szCs w:val="32"/>
          <w:lang w:val="en-US" w:eastAsia="zh-CN"/>
        </w:rPr>
        <w:t>微涨</w:t>
      </w:r>
      <w:r>
        <w:rPr>
          <w:rFonts w:hint="eastAsia" w:ascii="仿宋_GB2312" w:hAnsi="仿宋_GB2312" w:eastAsia="仿宋_GB2312" w:cs="仿宋_GB2312"/>
          <w:spacing w:val="-6"/>
          <w:sz w:val="32"/>
          <w:szCs w:val="32"/>
        </w:rPr>
        <w:t>。</w:t>
      </w:r>
      <w:r>
        <w:rPr>
          <w:rFonts w:hint="eastAsia" w:ascii="仿宋_GB2312" w:hAnsi="仿宋_GB2312" w:eastAsia="仿宋_GB2312" w:cs="仿宋_GB2312"/>
          <w:b/>
          <w:bCs/>
          <w:spacing w:val="-6"/>
          <w:sz w:val="32"/>
          <w:szCs w:val="32"/>
        </w:rPr>
        <w:t>硅铁方面：</w:t>
      </w:r>
      <w:r>
        <w:rPr>
          <w:rFonts w:hint="eastAsia" w:ascii="仿宋_GB2312" w:hAnsi="仿宋_GB2312" w:eastAsia="仿宋_GB2312" w:cs="仿宋_GB2312"/>
          <w:spacing w:val="-6"/>
          <w:sz w:val="32"/>
          <w:szCs w:val="32"/>
        </w:rPr>
        <w:t>本月硅铁价格</w:t>
      </w:r>
      <w:r>
        <w:rPr>
          <w:rFonts w:hint="eastAsia" w:ascii="仿宋_GB2312" w:hAnsi="仿宋_GB2312" w:eastAsia="仿宋_GB2312" w:cs="仿宋_GB2312"/>
          <w:spacing w:val="-6"/>
          <w:sz w:val="32"/>
          <w:szCs w:val="32"/>
          <w:lang w:val="en-US" w:eastAsia="zh-CN"/>
        </w:rPr>
        <w:t>继续上涨，</w:t>
      </w:r>
      <w:r>
        <w:rPr>
          <w:rFonts w:hint="eastAsia" w:ascii="仿宋_GB2312" w:hAnsi="仿宋_GB2312" w:eastAsia="仿宋_GB2312" w:cs="仿宋_GB2312"/>
          <w:spacing w:val="-6"/>
          <w:sz w:val="32"/>
          <w:szCs w:val="32"/>
          <w:lang w:eastAsia="zh-CN"/>
        </w:rPr>
        <w:t>市场</w:t>
      </w:r>
      <w:r>
        <w:rPr>
          <w:rFonts w:hint="eastAsia" w:ascii="仿宋_GB2312" w:hAnsi="仿宋_GB2312" w:eastAsia="仿宋_GB2312" w:cs="仿宋_GB2312"/>
          <w:spacing w:val="-6"/>
          <w:sz w:val="32"/>
          <w:szCs w:val="32"/>
          <w:lang w:val="en-US" w:eastAsia="zh-CN"/>
        </w:rPr>
        <w:t>情绪回暖</w:t>
      </w:r>
      <w:r>
        <w:rPr>
          <w:rFonts w:hint="eastAsia" w:ascii="仿宋_GB2312" w:hAnsi="仿宋_GB2312" w:eastAsia="仿宋_GB2312" w:cs="仿宋_GB2312"/>
          <w:spacing w:val="-6"/>
          <w:sz w:val="32"/>
          <w:szCs w:val="32"/>
        </w:rPr>
        <w:t>。</w:t>
      </w:r>
      <w:r>
        <w:rPr>
          <w:rFonts w:hint="eastAsia" w:ascii="仿宋_GB2312" w:hAnsi="仿宋_GB2312" w:eastAsia="仿宋_GB2312" w:cs="仿宋_GB2312"/>
          <w:b/>
          <w:bCs/>
          <w:spacing w:val="-6"/>
          <w:sz w:val="32"/>
          <w:szCs w:val="32"/>
        </w:rPr>
        <w:t>主要原因分析：一是宏观政策与市场情绪推动</w:t>
      </w:r>
      <w:r>
        <w:rPr>
          <w:rFonts w:hint="eastAsia" w:ascii="仿宋_GB2312" w:hAnsi="仿宋_GB2312" w:eastAsia="仿宋_GB2312" w:cs="仿宋_GB2312"/>
          <w:b/>
          <w:bCs/>
          <w:spacing w:val="-6"/>
          <w:sz w:val="32"/>
          <w:szCs w:val="32"/>
          <w:lang w:eastAsia="zh-CN"/>
        </w:rPr>
        <w:t>。</w:t>
      </w:r>
      <w:r>
        <w:rPr>
          <w:rFonts w:hint="eastAsia" w:ascii="仿宋_GB2312" w:hAnsi="仿宋_GB2312" w:eastAsia="仿宋_GB2312" w:cs="仿宋_GB2312"/>
          <w:spacing w:val="-6"/>
          <w:sz w:val="32"/>
          <w:szCs w:val="32"/>
        </w:rPr>
        <w:t>7月</w:t>
      </w:r>
      <w:r>
        <w:rPr>
          <w:rFonts w:hint="eastAsia" w:ascii="仿宋_GB2312" w:hAnsi="仿宋_GB2312" w:eastAsia="仿宋_GB2312" w:cs="仿宋_GB2312"/>
          <w:spacing w:val="-6"/>
          <w:sz w:val="32"/>
          <w:szCs w:val="32"/>
          <w:lang w:val="en-US" w:eastAsia="zh-CN"/>
        </w:rPr>
        <w:t>份</w:t>
      </w:r>
      <w:r>
        <w:rPr>
          <w:rFonts w:hint="eastAsia" w:ascii="仿宋_GB2312" w:hAnsi="仿宋_GB2312" w:eastAsia="仿宋_GB2312" w:cs="仿宋_GB2312"/>
          <w:spacing w:val="-6"/>
          <w:sz w:val="32"/>
          <w:szCs w:val="32"/>
        </w:rPr>
        <w:t>国家能源局对8省煤炭产能进行核查，叠加</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反内卷</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政策升级，兰炭企业提价意愿增强，带动硅铁原料成本上涨。同时，下游多晶硅企业受政策影响看涨情绪浓厚，推动工业硅价格攀升，进而传导至硅铁市场。</w:t>
      </w:r>
      <w:r>
        <w:rPr>
          <w:rFonts w:hint="eastAsia" w:ascii="仿宋_GB2312" w:hAnsi="仿宋_GB2312" w:eastAsia="仿宋_GB2312" w:cs="仿宋_GB2312"/>
          <w:b/>
          <w:bCs/>
          <w:spacing w:val="-6"/>
          <w:sz w:val="32"/>
          <w:szCs w:val="32"/>
          <w:lang w:val="en-US" w:eastAsia="zh-CN"/>
        </w:rPr>
        <w:t>二是</w:t>
      </w:r>
      <w:r>
        <w:rPr>
          <w:rFonts w:hint="eastAsia" w:ascii="仿宋_GB2312" w:hAnsi="仿宋_GB2312" w:eastAsia="仿宋_GB2312" w:cs="仿宋_GB2312"/>
          <w:b/>
          <w:bCs/>
          <w:spacing w:val="-6"/>
          <w:sz w:val="32"/>
          <w:szCs w:val="32"/>
        </w:rPr>
        <w:t>供需结构变化</w:t>
      </w:r>
      <w:r>
        <w:rPr>
          <w:rFonts w:hint="eastAsia" w:ascii="仿宋_GB2312" w:hAnsi="仿宋_GB2312" w:eastAsia="仿宋_GB2312" w:cs="仿宋_GB2312"/>
          <w:b/>
          <w:bCs/>
          <w:spacing w:val="-6"/>
          <w:sz w:val="32"/>
          <w:szCs w:val="32"/>
          <w:lang w:eastAsia="zh-CN"/>
        </w:rPr>
        <w:t>。</w:t>
      </w:r>
      <w:r>
        <w:rPr>
          <w:rFonts w:hint="eastAsia" w:ascii="仿宋_GB2312" w:hAnsi="仿宋_GB2312" w:eastAsia="仿宋_GB2312" w:cs="仿宋_GB2312"/>
          <w:b/>
          <w:bCs/>
          <w:spacing w:val="-6"/>
          <w:sz w:val="32"/>
          <w:szCs w:val="32"/>
        </w:rPr>
        <w:t>‌供应端</w:t>
      </w:r>
      <w:r>
        <w:rPr>
          <w:rFonts w:hint="eastAsia" w:ascii="仿宋_GB2312" w:hAnsi="仿宋_GB2312" w:eastAsia="仿宋_GB2312" w:cs="仿宋_GB2312"/>
          <w:b/>
          <w:bCs/>
          <w:spacing w:val="-6"/>
          <w:sz w:val="32"/>
          <w:szCs w:val="32"/>
          <w:lang w:eastAsia="zh-CN"/>
        </w:rPr>
        <w:t>，</w:t>
      </w:r>
      <w:r>
        <w:rPr>
          <w:rFonts w:hint="eastAsia" w:ascii="仿宋_GB2312" w:hAnsi="仿宋_GB2312" w:eastAsia="仿宋_GB2312" w:cs="仿宋_GB2312"/>
          <w:spacing w:val="-6"/>
          <w:sz w:val="32"/>
          <w:szCs w:val="32"/>
        </w:rPr>
        <w:t>宁夏、陕西等地前期检修企业复产，青海、甘肃复产计划推迟至8月初，导致市场短期供应增加但整体仍</w:t>
      </w:r>
      <w:r>
        <w:rPr>
          <w:rFonts w:hint="eastAsia" w:ascii="仿宋_GB2312" w:hAnsi="仿宋_GB2312" w:eastAsia="仿宋_GB2312" w:cs="仿宋_GB2312"/>
          <w:spacing w:val="-6"/>
          <w:sz w:val="32"/>
          <w:szCs w:val="32"/>
          <w:lang w:val="en-US" w:eastAsia="zh-CN"/>
        </w:rPr>
        <w:t>较为</w:t>
      </w:r>
      <w:r>
        <w:rPr>
          <w:rFonts w:hint="eastAsia" w:ascii="仿宋_GB2312" w:hAnsi="仿宋_GB2312" w:eastAsia="仿宋_GB2312" w:cs="仿宋_GB2312"/>
          <w:spacing w:val="-6"/>
          <w:sz w:val="32"/>
          <w:szCs w:val="32"/>
        </w:rPr>
        <w:t>偏紧。</w:t>
      </w:r>
      <w:r>
        <w:rPr>
          <w:rFonts w:hint="eastAsia" w:ascii="仿宋_GB2312" w:hAnsi="仿宋_GB2312" w:eastAsia="仿宋_GB2312" w:cs="仿宋_GB2312"/>
          <w:b/>
          <w:bCs/>
          <w:spacing w:val="-6"/>
          <w:sz w:val="32"/>
          <w:szCs w:val="32"/>
        </w:rPr>
        <w:t>‌需求端</w:t>
      </w:r>
      <w:r>
        <w:rPr>
          <w:rFonts w:hint="eastAsia" w:ascii="仿宋_GB2312" w:hAnsi="仿宋_GB2312" w:eastAsia="仿宋_GB2312" w:cs="仿宋_GB2312"/>
          <w:b/>
          <w:bCs/>
          <w:spacing w:val="-6"/>
          <w:sz w:val="32"/>
          <w:szCs w:val="32"/>
          <w:lang w:eastAsia="zh-CN"/>
        </w:rPr>
        <w:t>，</w:t>
      </w:r>
      <w:r>
        <w:rPr>
          <w:rFonts w:hint="eastAsia" w:ascii="仿宋_GB2312" w:hAnsi="仿宋_GB2312" w:eastAsia="仿宋_GB2312" w:cs="仿宋_GB2312"/>
          <w:spacing w:val="-6"/>
          <w:sz w:val="32"/>
          <w:szCs w:val="32"/>
        </w:rPr>
        <w:t>汽车行业</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以旧换新</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政策推动新能源汽车需求增长（2025年1-6月产量同比增</w:t>
      </w:r>
      <w:r>
        <w:rPr>
          <w:rFonts w:hint="eastAsia" w:ascii="仿宋_GB2312" w:hAnsi="仿宋_GB2312" w:eastAsia="仿宋_GB2312" w:cs="仿宋_GB2312"/>
          <w:spacing w:val="-6"/>
          <w:sz w:val="32"/>
          <w:szCs w:val="32"/>
          <w:lang w:val="en-US" w:eastAsia="zh-CN"/>
        </w:rPr>
        <w:t>加</w:t>
      </w:r>
      <w:r>
        <w:rPr>
          <w:rFonts w:hint="eastAsia" w:ascii="仿宋_GB2312" w:hAnsi="仿宋_GB2312" w:eastAsia="仿宋_GB2312" w:cs="仿宋_GB2312"/>
          <w:spacing w:val="-6"/>
          <w:sz w:val="32"/>
          <w:szCs w:val="32"/>
        </w:rPr>
        <w:t>41.4%），但传统工业领域采购相对谨慎，需求支撑</w:t>
      </w:r>
      <w:r>
        <w:rPr>
          <w:rFonts w:hint="eastAsia" w:ascii="仿宋_GB2312" w:hAnsi="仿宋_GB2312" w:eastAsia="仿宋_GB2312" w:cs="仿宋_GB2312"/>
          <w:spacing w:val="-6"/>
          <w:sz w:val="32"/>
          <w:szCs w:val="32"/>
          <w:lang w:val="en-US" w:eastAsia="zh-CN"/>
        </w:rPr>
        <w:t>较为</w:t>
      </w:r>
      <w:r>
        <w:rPr>
          <w:rFonts w:hint="eastAsia" w:ascii="仿宋_GB2312" w:hAnsi="仿宋_GB2312" w:eastAsia="仿宋_GB2312" w:cs="仿宋_GB2312"/>
          <w:spacing w:val="-6"/>
          <w:sz w:val="32"/>
          <w:szCs w:val="32"/>
        </w:rPr>
        <w:t>有限。</w:t>
      </w:r>
      <w:r>
        <w:rPr>
          <w:rFonts w:hint="eastAsia" w:ascii="仿宋_GB2312" w:hAnsi="仿宋_GB2312" w:eastAsia="仿宋_GB2312" w:cs="仿宋_GB2312"/>
          <w:b/>
          <w:bCs/>
          <w:spacing w:val="-6"/>
          <w:sz w:val="32"/>
          <w:szCs w:val="32"/>
          <w:lang w:val="en-US" w:eastAsia="zh-CN"/>
        </w:rPr>
        <w:t>三是</w:t>
      </w:r>
      <w:r>
        <w:rPr>
          <w:rFonts w:hint="eastAsia" w:ascii="仿宋_GB2312" w:hAnsi="仿宋_GB2312" w:eastAsia="仿宋_GB2312" w:cs="仿宋_GB2312"/>
          <w:b/>
          <w:bCs/>
          <w:spacing w:val="-6"/>
          <w:sz w:val="32"/>
          <w:szCs w:val="32"/>
        </w:rPr>
        <w:t>成本支撑强化</w:t>
      </w:r>
      <w:r>
        <w:rPr>
          <w:rFonts w:hint="eastAsia" w:ascii="仿宋_GB2312" w:hAnsi="仿宋_GB2312" w:eastAsia="仿宋_GB2312" w:cs="仿宋_GB2312"/>
          <w:b/>
          <w:bCs/>
          <w:spacing w:val="-6"/>
          <w:sz w:val="32"/>
          <w:szCs w:val="32"/>
          <w:lang w:eastAsia="zh-CN"/>
        </w:rPr>
        <w:t>。</w:t>
      </w:r>
      <w:r>
        <w:rPr>
          <w:rFonts w:hint="eastAsia" w:ascii="仿宋_GB2312" w:hAnsi="仿宋_GB2312" w:eastAsia="仿宋_GB2312" w:cs="仿宋_GB2312"/>
          <w:spacing w:val="-6"/>
          <w:sz w:val="32"/>
          <w:szCs w:val="32"/>
        </w:rPr>
        <w:t>兰炭价格大幅波动（神木市场中小料价格535-630元/吨，焦面420-470元/吨），叠加工业硅现货价格涨幅达8.92%，成本压力直接传导至硅铁价格。‌‌‌</w:t>
      </w:r>
      <w:r>
        <w:rPr>
          <w:rFonts w:hint="eastAsia" w:ascii="仿宋_GB2312" w:hAnsi="仿宋_GB2312" w:eastAsia="仿宋_GB2312" w:cs="仿宋_GB2312"/>
          <w:b/>
          <w:bCs/>
          <w:spacing w:val="-6"/>
          <w:sz w:val="32"/>
          <w:szCs w:val="32"/>
        </w:rPr>
        <w:t>预计</w:t>
      </w:r>
      <w:r>
        <w:rPr>
          <w:rFonts w:hint="eastAsia" w:ascii="仿宋_GB2312" w:hAnsi="仿宋_GB2312" w:eastAsia="仿宋_GB2312" w:cs="仿宋_GB2312"/>
          <w:spacing w:val="-6"/>
          <w:sz w:val="32"/>
          <w:szCs w:val="32"/>
        </w:rPr>
        <w:t>短期内我市硅铁市场行情或</w:t>
      </w:r>
      <w:r>
        <w:rPr>
          <w:rFonts w:hint="eastAsia" w:ascii="仿宋_GB2312" w:hAnsi="仿宋_GB2312" w:eastAsia="仿宋_GB2312" w:cs="仿宋_GB2312"/>
          <w:spacing w:val="-6"/>
          <w:sz w:val="32"/>
          <w:szCs w:val="32"/>
          <w:lang w:val="en-US" w:eastAsia="zh-CN"/>
        </w:rPr>
        <w:t>将</w:t>
      </w:r>
      <w:r>
        <w:rPr>
          <w:rFonts w:hint="eastAsia" w:ascii="仿宋_GB2312" w:hAnsi="仿宋_GB2312" w:eastAsia="仿宋_GB2312" w:cs="仿宋_GB2312"/>
          <w:spacing w:val="-6"/>
          <w:sz w:val="32"/>
          <w:szCs w:val="32"/>
        </w:rPr>
        <w:t>震荡</w:t>
      </w:r>
      <w:r>
        <w:rPr>
          <w:rFonts w:hint="eastAsia" w:ascii="仿宋_GB2312" w:hAnsi="仿宋_GB2312" w:eastAsia="仿宋_GB2312" w:cs="仿宋_GB2312"/>
          <w:spacing w:val="-6"/>
          <w:sz w:val="32"/>
          <w:szCs w:val="32"/>
          <w:lang w:val="en-US" w:eastAsia="zh-CN"/>
        </w:rPr>
        <w:t>整理运行</w:t>
      </w:r>
      <w:r>
        <w:rPr>
          <w:rFonts w:hint="eastAsia" w:ascii="仿宋_GB2312" w:hAnsi="仿宋_GB2312" w:eastAsia="仿宋_GB2312" w:cs="仿宋_GB2312"/>
          <w:spacing w:val="-6"/>
          <w:sz w:val="32"/>
          <w:szCs w:val="32"/>
        </w:rPr>
        <w:t>，需关注后续</w:t>
      </w:r>
      <w:r>
        <w:rPr>
          <w:rFonts w:hint="eastAsia" w:ascii="仿宋_GB2312" w:hAnsi="仿宋_GB2312" w:eastAsia="仿宋_GB2312" w:cs="仿宋_GB2312"/>
          <w:spacing w:val="-6"/>
          <w:sz w:val="32"/>
          <w:szCs w:val="32"/>
          <w:lang w:val="en-US" w:eastAsia="zh-CN"/>
        </w:rPr>
        <w:t>供需结构</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val="en-US" w:eastAsia="zh-CN"/>
        </w:rPr>
        <w:t>宏观</w:t>
      </w:r>
      <w:r>
        <w:rPr>
          <w:rFonts w:hint="eastAsia" w:ascii="仿宋_GB2312" w:hAnsi="仿宋_GB2312" w:eastAsia="仿宋_GB2312" w:cs="仿宋_GB2312"/>
          <w:spacing w:val="-6"/>
          <w:sz w:val="32"/>
          <w:szCs w:val="32"/>
        </w:rPr>
        <w:t>政策以及成本端变化情况。</w:t>
      </w:r>
      <w:r>
        <w:rPr>
          <w:rFonts w:hint="eastAsia" w:ascii="仿宋_GB2312" w:hAnsi="仿宋_GB2312" w:eastAsia="仿宋_GB2312" w:cs="仿宋_GB2312"/>
          <w:b/>
          <w:bCs/>
          <w:spacing w:val="-6"/>
          <w:sz w:val="32"/>
          <w:szCs w:val="32"/>
        </w:rPr>
        <w:t>金属镁方面：</w:t>
      </w:r>
      <w:r>
        <w:rPr>
          <w:rFonts w:hint="eastAsia" w:ascii="仿宋_GB2312" w:hAnsi="仿宋_GB2312" w:eastAsia="仿宋_GB2312" w:cs="仿宋_GB2312"/>
          <w:spacing w:val="-6"/>
          <w:sz w:val="32"/>
          <w:szCs w:val="32"/>
        </w:rPr>
        <w:t>本月我市镁价</w:t>
      </w:r>
      <w:r>
        <w:rPr>
          <w:rFonts w:hint="eastAsia" w:ascii="仿宋_GB2312" w:hAnsi="仿宋_GB2312" w:eastAsia="仿宋_GB2312" w:cs="仿宋_GB2312"/>
          <w:spacing w:val="-6"/>
          <w:sz w:val="32"/>
          <w:szCs w:val="32"/>
          <w:lang w:val="en-US" w:eastAsia="zh-CN"/>
        </w:rPr>
        <w:t>微涨</w:t>
      </w:r>
      <w:r>
        <w:rPr>
          <w:rFonts w:hint="eastAsia" w:ascii="仿宋_GB2312" w:hAnsi="仿宋_GB2312" w:eastAsia="仿宋_GB2312" w:cs="仿宋_GB2312"/>
          <w:spacing w:val="-6"/>
          <w:sz w:val="32"/>
          <w:szCs w:val="32"/>
        </w:rPr>
        <w:t>。</w:t>
      </w:r>
      <w:r>
        <w:rPr>
          <w:rFonts w:hint="eastAsia" w:ascii="仿宋_GB2312" w:hAnsi="仿宋_GB2312" w:eastAsia="仿宋_GB2312" w:cs="仿宋_GB2312"/>
          <w:b/>
          <w:bCs/>
          <w:spacing w:val="-6"/>
          <w:sz w:val="32"/>
          <w:szCs w:val="32"/>
        </w:rPr>
        <w:t>据了解，</w:t>
      </w:r>
      <w:r>
        <w:rPr>
          <w:rFonts w:hint="eastAsia" w:ascii="仿宋_GB2312" w:hAnsi="仿宋_GB2312" w:eastAsia="仿宋_GB2312" w:cs="仿宋_GB2312"/>
          <w:spacing w:val="-6"/>
          <w:sz w:val="32"/>
          <w:szCs w:val="32"/>
        </w:rPr>
        <w:t>本月99.9%镁锭府谷地区工厂报主流出厂含税现金价</w:t>
      </w:r>
      <w:r>
        <w:rPr>
          <w:rFonts w:hint="eastAsia" w:ascii="仿宋_GB2312" w:hAnsi="仿宋_GB2312" w:eastAsia="仿宋_GB2312" w:cs="仿宋_GB2312"/>
          <w:bCs/>
          <w:color w:val="000000"/>
          <w:sz w:val="32"/>
          <w:szCs w:val="32"/>
          <w:shd w:val="clear" w:color="auto" w:fill="FFFFFF"/>
        </w:rPr>
        <w:t>在1</w:t>
      </w:r>
      <w:r>
        <w:rPr>
          <w:rFonts w:hint="eastAsia" w:ascii="仿宋_GB2312" w:hAnsi="仿宋_GB2312" w:eastAsia="仿宋_GB2312" w:cs="仿宋_GB2312"/>
          <w:bCs/>
          <w:color w:val="000000"/>
          <w:sz w:val="32"/>
          <w:szCs w:val="32"/>
          <w:shd w:val="clear" w:color="auto" w:fill="FFFFFF"/>
          <w:lang w:val="en-US" w:eastAsia="zh-CN"/>
        </w:rPr>
        <w:t>6</w:t>
      </w:r>
      <w:r>
        <w:rPr>
          <w:rFonts w:hint="eastAsia" w:ascii="仿宋_GB2312" w:hAnsi="仿宋_GB2312" w:eastAsia="仿宋_GB2312" w:cs="仿宋_GB2312"/>
          <w:bCs/>
          <w:color w:val="000000"/>
          <w:sz w:val="32"/>
          <w:szCs w:val="32"/>
          <w:shd w:val="clear" w:color="auto" w:fill="FFFFFF"/>
        </w:rPr>
        <w:t>300元/吨，主流成交价为</w:t>
      </w:r>
      <w:r>
        <w:rPr>
          <w:rFonts w:hint="eastAsia" w:ascii="仿宋_GB2312" w:hAnsi="仿宋_GB2312" w:eastAsia="仿宋_GB2312" w:cs="仿宋_GB2312"/>
          <w:bCs/>
          <w:color w:val="000000"/>
          <w:sz w:val="32"/>
          <w:szCs w:val="32"/>
          <w:shd w:val="clear" w:color="auto" w:fill="FFFFFF"/>
          <w:lang w:val="en-US" w:eastAsia="zh-CN"/>
        </w:rPr>
        <w:t>16300-</w:t>
      </w:r>
      <w:r>
        <w:rPr>
          <w:rFonts w:hint="eastAsia" w:ascii="仿宋_GB2312" w:hAnsi="仿宋_GB2312" w:eastAsia="仿宋_GB2312" w:cs="仿宋_GB2312"/>
          <w:spacing w:val="-6"/>
          <w:sz w:val="32"/>
          <w:szCs w:val="32"/>
        </w:rPr>
        <w:t>1</w:t>
      </w:r>
      <w:r>
        <w:rPr>
          <w:rFonts w:hint="eastAsia" w:ascii="仿宋_GB2312" w:hAnsi="仿宋_GB2312" w:eastAsia="仿宋_GB2312" w:cs="仿宋_GB2312"/>
          <w:spacing w:val="-6"/>
          <w:sz w:val="32"/>
          <w:szCs w:val="32"/>
          <w:lang w:val="en-US" w:eastAsia="zh-CN"/>
        </w:rPr>
        <w:t>640</w:t>
      </w:r>
      <w:r>
        <w:rPr>
          <w:rFonts w:hint="eastAsia" w:ascii="仿宋_GB2312" w:hAnsi="仿宋_GB2312" w:eastAsia="仿宋_GB2312" w:cs="仿宋_GB2312"/>
          <w:spacing w:val="-6"/>
          <w:sz w:val="32"/>
          <w:szCs w:val="32"/>
        </w:rPr>
        <w:t>0元</w:t>
      </w:r>
      <w:r>
        <w:rPr>
          <w:rFonts w:hint="eastAsia" w:ascii="仿宋_GB2312" w:hAnsi="仿宋_GB2312" w:eastAsia="仿宋_GB2312" w:cs="仿宋_GB2312"/>
          <w:bCs/>
          <w:color w:val="000000"/>
          <w:sz w:val="32"/>
          <w:szCs w:val="32"/>
          <w:shd w:val="clear" w:color="auto" w:fill="FFFFFF"/>
        </w:rPr>
        <w:t>/吨，其他地区价格跟随调整。</w:t>
      </w:r>
      <w:r>
        <w:rPr>
          <w:rFonts w:hint="eastAsia" w:ascii="仿宋_GB2312" w:hAnsi="仿宋_GB2312" w:eastAsia="仿宋_GB2312" w:cs="仿宋_GB2312"/>
          <w:b/>
          <w:color w:val="000000"/>
          <w:sz w:val="32"/>
          <w:szCs w:val="32"/>
          <w:shd w:val="clear" w:color="auto" w:fill="FFFFFF"/>
        </w:rPr>
        <w:t>另据了解，</w:t>
      </w:r>
      <w:r>
        <w:rPr>
          <w:rFonts w:hint="eastAsia" w:ascii="仿宋_GB2312" w:hAnsi="仿宋_GB2312" w:eastAsia="仿宋_GB2312" w:cs="仿宋_GB2312"/>
          <w:bCs/>
          <w:color w:val="000000"/>
          <w:sz w:val="32"/>
          <w:szCs w:val="32"/>
          <w:shd w:val="clear" w:color="auto" w:fill="FFFFFF"/>
        </w:rPr>
        <w:t>本月</w:t>
      </w:r>
      <w:r>
        <w:rPr>
          <w:rFonts w:hint="eastAsia" w:ascii="仿宋_GB2312" w:hAnsi="仿宋_GB2312" w:eastAsia="仿宋_GB2312" w:cs="仿宋_GB2312"/>
          <w:bCs/>
          <w:color w:val="000000"/>
          <w:sz w:val="32"/>
          <w:szCs w:val="32"/>
          <w:shd w:val="clear" w:color="auto" w:fill="FFFFFF"/>
          <w:lang w:eastAsia="zh-CN"/>
        </w:rPr>
        <w:t>需求未见明显改善</w:t>
      </w:r>
      <w:r>
        <w:rPr>
          <w:rFonts w:hint="eastAsia" w:ascii="仿宋_GB2312" w:hAnsi="仿宋_GB2312" w:eastAsia="仿宋_GB2312" w:cs="仿宋_GB2312"/>
          <w:bCs/>
          <w:color w:val="000000"/>
          <w:sz w:val="32"/>
          <w:szCs w:val="32"/>
          <w:shd w:val="clear" w:color="auto" w:fill="FFFFFF"/>
        </w:rPr>
        <w:t>，</w:t>
      </w:r>
      <w:r>
        <w:rPr>
          <w:rFonts w:hint="eastAsia" w:ascii="仿宋_GB2312" w:hAnsi="仿宋_GB2312" w:eastAsia="仿宋_GB2312" w:cs="仿宋_GB2312"/>
          <w:bCs/>
          <w:color w:val="000000"/>
          <w:sz w:val="32"/>
          <w:szCs w:val="32"/>
          <w:shd w:val="clear" w:color="auto" w:fill="FFFFFF"/>
          <w:lang w:eastAsia="zh-CN"/>
        </w:rPr>
        <w:t>下游</w:t>
      </w:r>
      <w:r>
        <w:rPr>
          <w:rFonts w:hint="eastAsia" w:ascii="仿宋_GB2312" w:hAnsi="仿宋_GB2312" w:eastAsia="仿宋_GB2312" w:cs="仿宋_GB2312"/>
          <w:bCs/>
          <w:color w:val="000000"/>
          <w:sz w:val="32"/>
          <w:szCs w:val="32"/>
          <w:shd w:val="clear" w:color="auto" w:fill="FFFFFF"/>
          <w:lang w:val="en-US" w:eastAsia="zh-CN"/>
        </w:rPr>
        <w:t>按</w:t>
      </w:r>
      <w:r>
        <w:rPr>
          <w:rFonts w:hint="eastAsia" w:ascii="仿宋_GB2312" w:hAnsi="仿宋_GB2312" w:eastAsia="仿宋_GB2312" w:cs="仿宋_GB2312"/>
          <w:bCs/>
          <w:color w:val="000000"/>
          <w:sz w:val="32"/>
          <w:szCs w:val="32"/>
          <w:shd w:val="clear" w:color="auto" w:fill="FFFFFF"/>
        </w:rPr>
        <w:t>需采购</w:t>
      </w:r>
      <w:r>
        <w:rPr>
          <w:rFonts w:hint="eastAsia" w:ascii="仿宋_GB2312" w:hAnsi="仿宋_GB2312" w:eastAsia="仿宋_GB2312" w:cs="仿宋_GB2312"/>
          <w:bCs/>
          <w:color w:val="000000"/>
          <w:sz w:val="32"/>
          <w:szCs w:val="32"/>
          <w:shd w:val="clear" w:color="auto" w:fill="FFFFFF"/>
          <w:lang w:eastAsia="zh-CN"/>
        </w:rPr>
        <w:t>为主</w:t>
      </w:r>
      <w:r>
        <w:rPr>
          <w:rFonts w:hint="eastAsia" w:ascii="仿宋_GB2312" w:hAnsi="仿宋_GB2312" w:eastAsia="仿宋_GB2312" w:cs="仿宋_GB2312"/>
          <w:bCs/>
          <w:color w:val="000000"/>
          <w:sz w:val="32"/>
          <w:szCs w:val="32"/>
          <w:shd w:val="clear" w:color="auto" w:fill="FFFFFF"/>
        </w:rPr>
        <w:t>，</w:t>
      </w:r>
      <w:r>
        <w:rPr>
          <w:rFonts w:hint="eastAsia" w:ascii="仿宋_GB2312" w:hAnsi="仿宋_GB2312" w:eastAsia="仿宋_GB2312" w:cs="仿宋_GB2312"/>
          <w:spacing w:val="-6"/>
          <w:sz w:val="32"/>
          <w:szCs w:val="32"/>
        </w:rPr>
        <w:t>工厂</w:t>
      </w:r>
      <w:r>
        <w:rPr>
          <w:rFonts w:hint="eastAsia" w:ascii="仿宋_GB2312" w:hAnsi="仿宋_GB2312" w:eastAsia="仿宋_GB2312" w:cs="仿宋_GB2312"/>
          <w:spacing w:val="-6"/>
          <w:sz w:val="32"/>
          <w:szCs w:val="32"/>
          <w:lang w:eastAsia="zh-CN"/>
        </w:rPr>
        <w:t>库存延续</w:t>
      </w:r>
      <w:r>
        <w:rPr>
          <w:rFonts w:hint="eastAsia" w:ascii="仿宋_GB2312" w:hAnsi="仿宋_GB2312" w:eastAsia="仿宋_GB2312" w:cs="仿宋_GB2312"/>
          <w:spacing w:val="-6"/>
          <w:sz w:val="32"/>
          <w:szCs w:val="32"/>
          <w:lang w:val="en-US" w:eastAsia="zh-CN"/>
        </w:rPr>
        <w:t>低位，对于短期镁市走向，市场观点延续看稳为主</w:t>
      </w:r>
      <w:r>
        <w:rPr>
          <w:rFonts w:hint="eastAsia" w:ascii="仿宋_GB2312" w:hAnsi="仿宋_GB2312" w:eastAsia="仿宋_GB2312" w:cs="仿宋_GB2312"/>
          <w:spacing w:val="-6"/>
          <w:sz w:val="32"/>
          <w:szCs w:val="32"/>
        </w:rPr>
        <w:t>。</w:t>
      </w:r>
      <w:r>
        <w:rPr>
          <w:rFonts w:hint="eastAsia" w:ascii="仿宋_GB2312" w:hAnsi="仿宋_GB2312" w:eastAsia="仿宋_GB2312" w:cs="仿宋_GB2312"/>
          <w:b/>
          <w:bCs/>
          <w:spacing w:val="-6"/>
          <w:sz w:val="32"/>
          <w:szCs w:val="32"/>
        </w:rPr>
        <w:t>主要原因分析：一是</w:t>
      </w:r>
      <w:r>
        <w:rPr>
          <w:rFonts w:hint="eastAsia" w:ascii="仿宋_GB2312" w:hAnsi="仿宋_GB2312" w:eastAsia="仿宋_GB2312" w:cs="仿宋_GB2312"/>
          <w:b/>
          <w:bCs/>
          <w:spacing w:val="-6"/>
          <w:sz w:val="32"/>
          <w:szCs w:val="32"/>
          <w:lang w:eastAsia="zh-CN"/>
        </w:rPr>
        <w:t>环保政策与产能调控导致供应缩减。</w:t>
      </w:r>
      <w:r>
        <w:rPr>
          <w:rFonts w:hint="eastAsia" w:ascii="仿宋_GB2312" w:hAnsi="仿宋_GB2312" w:eastAsia="仿宋_GB2312" w:cs="仿宋_GB2312"/>
          <w:spacing w:val="-6"/>
          <w:sz w:val="32"/>
          <w:szCs w:val="32"/>
          <w:lang w:eastAsia="zh-CN"/>
        </w:rPr>
        <w:t xml:space="preserve">国务院《2024—2025年节能降碳行动方案》明确限制新增产能，推广竖式还原炼镁技术，陕西、山西等地关停高能耗产线12条，宁夏、内蒙古主产区因环保督察停产整顿，府谷地区企业复产进度缓慢，7月现货库存较6月底下降15%。 </w:t>
      </w:r>
      <w:r>
        <w:rPr>
          <w:rFonts w:hint="eastAsia" w:ascii="仿宋_GB2312" w:hAnsi="仿宋_GB2312" w:eastAsia="仿宋_GB2312" w:cs="仿宋_GB2312"/>
          <w:b/>
          <w:bCs/>
          <w:spacing w:val="-6"/>
          <w:sz w:val="32"/>
          <w:szCs w:val="32"/>
          <w:lang w:val="en-US" w:eastAsia="zh-CN"/>
        </w:rPr>
        <w:t>二是</w:t>
      </w:r>
      <w:r>
        <w:rPr>
          <w:rFonts w:hint="eastAsia" w:ascii="仿宋_GB2312" w:hAnsi="仿宋_GB2312" w:eastAsia="仿宋_GB2312" w:cs="仿宋_GB2312"/>
          <w:b/>
          <w:bCs/>
          <w:spacing w:val="-6"/>
          <w:sz w:val="32"/>
          <w:szCs w:val="32"/>
          <w:lang w:eastAsia="zh-CN"/>
        </w:rPr>
        <w:t>新能源与低空经济拉动需求。</w:t>
      </w:r>
      <w:r>
        <w:rPr>
          <w:rFonts w:hint="eastAsia" w:ascii="仿宋_GB2312" w:hAnsi="仿宋_GB2312" w:eastAsia="仿宋_GB2312" w:cs="仿宋_GB2312"/>
          <w:spacing w:val="-6"/>
          <w:sz w:val="32"/>
          <w:szCs w:val="32"/>
          <w:lang w:eastAsia="zh-CN"/>
        </w:rPr>
        <w:t>新能源汽车轻量化推动需求增长，2025年全球单车用镁量从3.5kg增至8.2kg，比亚迪、特斯拉等车型大量采用镁合金部件；低空经济领域（</w:t>
      </w:r>
      <w:r>
        <w:rPr>
          <w:rFonts w:hint="eastAsia" w:ascii="仿宋_GB2312" w:hAnsi="仿宋_GB2312" w:eastAsia="仿宋_GB2312" w:cs="仿宋_GB2312"/>
          <w:spacing w:val="-6"/>
          <w:sz w:val="32"/>
          <w:szCs w:val="32"/>
          <w:lang w:val="en-US" w:eastAsia="zh-CN"/>
        </w:rPr>
        <w:t>如</w:t>
      </w:r>
      <w:r>
        <w:rPr>
          <w:rFonts w:hint="eastAsia" w:ascii="仿宋_GB2312" w:hAnsi="仿宋_GB2312" w:eastAsia="仿宋_GB2312" w:cs="仿宋_GB2312"/>
          <w:spacing w:val="-6"/>
          <w:sz w:val="32"/>
          <w:szCs w:val="32"/>
          <w:lang w:eastAsia="zh-CN"/>
        </w:rPr>
        <w:t>飞行器、机器人）需求激增，直接拉动高端镁材需求增长15%。</w:t>
      </w:r>
      <w:r>
        <w:rPr>
          <w:rFonts w:hint="eastAsia" w:ascii="仿宋_GB2312" w:hAnsi="仿宋_GB2312" w:eastAsia="仿宋_GB2312" w:cs="仿宋_GB2312"/>
          <w:b/>
          <w:bCs/>
          <w:spacing w:val="-6"/>
          <w:sz w:val="32"/>
          <w:szCs w:val="32"/>
          <w:lang w:val="en-US" w:eastAsia="zh-CN"/>
        </w:rPr>
        <w:t>三是</w:t>
      </w:r>
      <w:r>
        <w:rPr>
          <w:rFonts w:hint="eastAsia" w:ascii="仿宋_GB2312" w:hAnsi="仿宋_GB2312" w:eastAsia="仿宋_GB2312" w:cs="仿宋_GB2312"/>
          <w:b/>
          <w:bCs/>
          <w:spacing w:val="-6"/>
          <w:sz w:val="32"/>
          <w:szCs w:val="32"/>
          <w:lang w:eastAsia="zh-CN"/>
        </w:rPr>
        <w:t>原料成本支撑增强。</w:t>
      </w:r>
      <w:r>
        <w:rPr>
          <w:rFonts w:hint="eastAsia" w:ascii="仿宋_GB2312" w:hAnsi="仿宋_GB2312" w:eastAsia="仿宋_GB2312" w:cs="仿宋_GB2312"/>
          <w:spacing w:val="-6"/>
          <w:sz w:val="32"/>
          <w:szCs w:val="32"/>
          <w:lang w:eastAsia="zh-CN"/>
        </w:rPr>
        <w:t>煤炭价格</w:t>
      </w:r>
      <w:r>
        <w:rPr>
          <w:rFonts w:hint="eastAsia" w:ascii="仿宋_GB2312" w:hAnsi="仿宋_GB2312" w:eastAsia="仿宋_GB2312" w:cs="仿宋_GB2312"/>
          <w:spacing w:val="-6"/>
          <w:sz w:val="32"/>
          <w:szCs w:val="32"/>
          <w:lang w:val="en-US" w:eastAsia="zh-CN"/>
        </w:rPr>
        <w:t>环</w:t>
      </w:r>
      <w:r>
        <w:rPr>
          <w:rFonts w:hint="eastAsia" w:ascii="仿宋_GB2312" w:hAnsi="仿宋_GB2312" w:eastAsia="仿宋_GB2312" w:cs="仿宋_GB2312"/>
          <w:spacing w:val="-6"/>
          <w:sz w:val="32"/>
          <w:szCs w:val="32"/>
          <w:lang w:eastAsia="zh-CN"/>
        </w:rPr>
        <w:t>比上涨</w:t>
      </w:r>
      <w:r>
        <w:rPr>
          <w:rFonts w:hint="eastAsia" w:ascii="仿宋_GB2312" w:hAnsi="仿宋_GB2312" w:eastAsia="仿宋_GB2312" w:cs="仿宋_GB2312"/>
          <w:spacing w:val="-6"/>
          <w:sz w:val="32"/>
          <w:szCs w:val="32"/>
          <w:lang w:val="en-US" w:eastAsia="zh-CN"/>
        </w:rPr>
        <w:t>4.57</w:t>
      </w:r>
      <w:r>
        <w:rPr>
          <w:rFonts w:hint="eastAsia" w:ascii="仿宋_GB2312" w:hAnsi="仿宋_GB2312" w:eastAsia="仿宋_GB2312" w:cs="仿宋_GB2312"/>
          <w:spacing w:val="-6"/>
          <w:sz w:val="32"/>
          <w:szCs w:val="32"/>
          <w:lang w:eastAsia="zh-CN"/>
        </w:rPr>
        <w:t>%，陕西企业综合成本突破16000元/吨，环保技改投入进一步推高成本。资金面反转引发“逼空”行情，空头离场与多头入场推动价格快速修复。</w:t>
      </w:r>
      <w:r>
        <w:rPr>
          <w:rFonts w:hint="eastAsia" w:ascii="仿宋_GB2312" w:hAnsi="仿宋_GB2312" w:eastAsia="仿宋_GB2312" w:cs="仿宋_GB2312"/>
          <w:spacing w:val="-6"/>
          <w:sz w:val="32"/>
          <w:szCs w:val="32"/>
        </w:rPr>
        <w:t>‌</w:t>
      </w:r>
      <w:r>
        <w:rPr>
          <w:rFonts w:hint="eastAsia" w:ascii="仿宋_GB2312" w:hAnsi="仿宋_GB2312" w:eastAsia="仿宋_GB2312" w:cs="仿宋_GB2312"/>
          <w:b/>
          <w:bCs/>
          <w:spacing w:val="-6"/>
          <w:sz w:val="32"/>
          <w:szCs w:val="32"/>
        </w:rPr>
        <w:t>预计</w:t>
      </w:r>
      <w:r>
        <w:rPr>
          <w:rFonts w:hint="eastAsia" w:ascii="仿宋_GB2312" w:hAnsi="仿宋_GB2312" w:eastAsia="仿宋_GB2312" w:cs="仿宋_GB2312"/>
          <w:spacing w:val="-6"/>
          <w:sz w:val="32"/>
          <w:szCs w:val="32"/>
        </w:rPr>
        <w:t>短期内我市镁价</w:t>
      </w:r>
      <w:r>
        <w:rPr>
          <w:rFonts w:hint="eastAsia" w:ascii="仿宋_GB2312" w:hAnsi="仿宋_GB2312" w:eastAsia="仿宋_GB2312" w:cs="仿宋_GB2312"/>
          <w:spacing w:val="-6"/>
          <w:sz w:val="32"/>
          <w:szCs w:val="32"/>
          <w:lang w:val="en-US" w:eastAsia="zh-CN"/>
        </w:rPr>
        <w:t>整体</w:t>
      </w:r>
      <w:r>
        <w:rPr>
          <w:rFonts w:hint="eastAsia" w:ascii="仿宋_GB2312" w:hAnsi="仿宋_GB2312" w:eastAsia="仿宋_GB2312" w:cs="仿宋_GB2312"/>
          <w:spacing w:val="-6"/>
          <w:sz w:val="32"/>
          <w:szCs w:val="32"/>
        </w:rPr>
        <w:t>或</w:t>
      </w:r>
      <w:r>
        <w:rPr>
          <w:rFonts w:hint="eastAsia" w:ascii="仿宋_GB2312" w:hAnsi="仿宋_GB2312" w:eastAsia="仿宋_GB2312" w:cs="仿宋_GB2312"/>
          <w:spacing w:val="-6"/>
          <w:sz w:val="32"/>
          <w:szCs w:val="32"/>
          <w:lang w:val="en-US" w:eastAsia="zh-CN"/>
        </w:rPr>
        <w:t>将维持高位稳定态势</w:t>
      </w:r>
      <w:r>
        <w:rPr>
          <w:rFonts w:hint="eastAsia" w:ascii="仿宋_GB2312" w:hAnsi="仿宋_GB2312" w:eastAsia="仿宋_GB2312" w:cs="仿宋_GB2312"/>
          <w:spacing w:val="-6"/>
          <w:sz w:val="32"/>
          <w:szCs w:val="32"/>
        </w:rPr>
        <w:t>，后期需</w:t>
      </w:r>
      <w:r>
        <w:rPr>
          <w:rFonts w:hint="eastAsia" w:ascii="仿宋_GB2312" w:hAnsi="仿宋_GB2312" w:eastAsia="仿宋_GB2312" w:cs="仿宋_GB2312"/>
          <w:spacing w:val="-6"/>
          <w:sz w:val="32"/>
          <w:szCs w:val="32"/>
          <w:lang w:eastAsia="zh-CN"/>
        </w:rPr>
        <w:t>继续</w:t>
      </w:r>
      <w:r>
        <w:rPr>
          <w:rFonts w:hint="eastAsia" w:ascii="仿宋_GB2312" w:hAnsi="仿宋_GB2312" w:eastAsia="仿宋_GB2312" w:cs="仿宋_GB2312"/>
          <w:spacing w:val="-6"/>
          <w:sz w:val="32"/>
          <w:szCs w:val="32"/>
        </w:rPr>
        <w:t>关注</w:t>
      </w:r>
      <w:r>
        <w:rPr>
          <w:rFonts w:hint="eastAsia" w:ascii="仿宋_GB2312" w:hAnsi="仿宋_GB2312" w:eastAsia="仿宋_GB2312" w:cs="仿宋_GB2312"/>
          <w:spacing w:val="-6"/>
          <w:sz w:val="32"/>
          <w:szCs w:val="32"/>
          <w:lang w:eastAsia="zh-CN"/>
        </w:rPr>
        <w:t>宏观</w:t>
      </w:r>
      <w:r>
        <w:rPr>
          <w:rFonts w:hint="eastAsia" w:ascii="仿宋_GB2312" w:hAnsi="仿宋_GB2312" w:eastAsia="仿宋_GB2312" w:cs="仿宋_GB2312"/>
          <w:spacing w:val="-6"/>
          <w:sz w:val="32"/>
          <w:szCs w:val="32"/>
        </w:rPr>
        <w:t>政策及</w:t>
      </w:r>
      <w:r>
        <w:rPr>
          <w:rFonts w:hint="eastAsia" w:ascii="仿宋_GB2312" w:hAnsi="仿宋_GB2312" w:eastAsia="仿宋_GB2312" w:cs="仿宋_GB2312"/>
          <w:spacing w:val="-6"/>
          <w:sz w:val="32"/>
          <w:szCs w:val="32"/>
          <w:lang w:val="en-US" w:eastAsia="zh-CN"/>
        </w:rPr>
        <w:t>下游订单跟进</w:t>
      </w:r>
      <w:r>
        <w:rPr>
          <w:rFonts w:hint="eastAsia" w:ascii="仿宋_GB2312" w:hAnsi="仿宋_GB2312" w:eastAsia="仿宋_GB2312" w:cs="仿宋_GB2312"/>
          <w:spacing w:val="-6"/>
          <w:sz w:val="32"/>
          <w:szCs w:val="32"/>
        </w:rPr>
        <w:t>情况。</w:t>
      </w:r>
    </w:p>
    <w:p w14:paraId="656F9C2C">
      <w:pPr>
        <w:pStyle w:val="2"/>
        <w:ind w:left="0" w:leftChars="0" w:firstLine="0" w:firstLineChars="0"/>
      </w:pPr>
      <w:r>
        <w:drawing>
          <wp:inline distT="0" distB="0" distL="114300" distR="114300">
            <wp:extent cx="5484495" cy="1954530"/>
            <wp:effectExtent l="4445" t="4445" r="16510" b="22225"/>
            <wp:docPr id="17"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E6E51F9">
      <w:pPr>
        <w:pStyle w:val="2"/>
        <w:ind w:firstLine="0" w:firstLineChars="0"/>
        <w:rPr>
          <w:rFonts w:hint="eastAsia" w:ascii="仿宋" w:hAnsi="仿宋" w:eastAsia="仿宋" w:cs="仿宋_GB2312"/>
          <w:spacing w:val="-6"/>
          <w:sz w:val="32"/>
          <w:szCs w:val="32"/>
        </w:rPr>
      </w:pPr>
      <w:r>
        <w:drawing>
          <wp:inline distT="0" distB="0" distL="114300" distR="114300">
            <wp:extent cx="5497830" cy="2383155"/>
            <wp:effectExtent l="4445" t="4445" r="22225" b="12700"/>
            <wp:docPr id="18"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90B55E8">
      <w:pPr>
        <w:snapToGrid w:val="0"/>
        <w:spacing w:line="560" w:lineRule="exact"/>
        <w:ind w:right="-27" w:firstLine="616"/>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本月我市焦油、电石</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兰炭</w:t>
      </w:r>
      <w:r>
        <w:rPr>
          <w:rFonts w:hint="eastAsia" w:ascii="仿宋_GB2312" w:hAnsi="仿宋_GB2312" w:eastAsia="仿宋_GB2312" w:cs="仿宋_GB2312"/>
          <w:spacing w:val="-6"/>
          <w:sz w:val="32"/>
          <w:szCs w:val="32"/>
          <w:lang w:eastAsia="zh-CN"/>
        </w:rPr>
        <w:t>市场价格</w:t>
      </w:r>
      <w:r>
        <w:rPr>
          <w:rFonts w:hint="eastAsia" w:ascii="仿宋_GB2312" w:hAnsi="仿宋_GB2312" w:eastAsia="仿宋_GB2312" w:cs="仿宋_GB2312"/>
          <w:spacing w:val="-6"/>
          <w:sz w:val="32"/>
          <w:szCs w:val="32"/>
          <w:lang w:val="en-US" w:eastAsia="zh-CN"/>
        </w:rPr>
        <w:t>重心均呈</w:t>
      </w:r>
      <w:r>
        <w:rPr>
          <w:rFonts w:hint="eastAsia" w:ascii="仿宋_GB2312" w:hAnsi="仿宋_GB2312" w:eastAsia="仿宋_GB2312" w:cs="仿宋_GB2312"/>
          <w:spacing w:val="-6"/>
          <w:sz w:val="32"/>
          <w:szCs w:val="32"/>
        </w:rPr>
        <w:t>小幅下行走势。</w:t>
      </w:r>
      <w:r>
        <w:rPr>
          <w:rFonts w:hint="eastAsia" w:ascii="仿宋_GB2312" w:hAnsi="仿宋_GB2312" w:eastAsia="仿宋_GB2312" w:cs="仿宋_GB2312"/>
          <w:b/>
          <w:bCs/>
          <w:spacing w:val="-6"/>
          <w:sz w:val="32"/>
          <w:szCs w:val="32"/>
        </w:rPr>
        <w:t>焦油方面：</w:t>
      </w:r>
      <w:r>
        <w:rPr>
          <w:rFonts w:hint="eastAsia" w:ascii="仿宋_GB2312" w:hAnsi="仿宋_GB2312" w:eastAsia="仿宋_GB2312" w:cs="仿宋_GB2312"/>
          <w:spacing w:val="-6"/>
          <w:sz w:val="32"/>
          <w:szCs w:val="32"/>
        </w:rPr>
        <w:t>本月我市焦油市场价格小幅</w:t>
      </w:r>
      <w:r>
        <w:rPr>
          <w:rFonts w:hint="eastAsia" w:ascii="仿宋_GB2312" w:hAnsi="仿宋_GB2312" w:eastAsia="仿宋_GB2312" w:cs="仿宋_GB2312"/>
          <w:spacing w:val="-6"/>
          <w:sz w:val="32"/>
          <w:szCs w:val="32"/>
          <w:lang w:val="en-US" w:eastAsia="zh-CN"/>
        </w:rPr>
        <w:t>下降</w:t>
      </w:r>
      <w:r>
        <w:rPr>
          <w:rFonts w:hint="eastAsia" w:ascii="仿宋_GB2312" w:hAnsi="仿宋_GB2312" w:eastAsia="仿宋_GB2312" w:cs="仿宋_GB2312"/>
          <w:spacing w:val="-6"/>
          <w:sz w:val="32"/>
          <w:szCs w:val="32"/>
        </w:rPr>
        <w:t>。</w:t>
      </w:r>
      <w:r>
        <w:rPr>
          <w:rFonts w:hint="eastAsia" w:ascii="仿宋_GB2312" w:hAnsi="仿宋_GB2312" w:eastAsia="仿宋_GB2312" w:cs="仿宋_GB2312"/>
          <w:b/>
          <w:bCs/>
          <w:spacing w:val="-6"/>
          <w:sz w:val="32"/>
          <w:szCs w:val="32"/>
        </w:rPr>
        <w:t>主要原因分析：一是深加工行业利润恶化</w:t>
      </w:r>
      <w:r>
        <w:rPr>
          <w:rFonts w:hint="eastAsia" w:ascii="仿宋_GB2312" w:hAnsi="仿宋_GB2312" w:eastAsia="仿宋_GB2312" w:cs="仿宋_GB2312"/>
          <w:b/>
          <w:bCs/>
          <w:spacing w:val="-6"/>
          <w:sz w:val="32"/>
          <w:szCs w:val="32"/>
          <w:lang w:eastAsia="zh-CN"/>
        </w:rPr>
        <w:t>。</w:t>
      </w:r>
      <w:r>
        <w:rPr>
          <w:rFonts w:hint="eastAsia" w:ascii="仿宋_GB2312" w:hAnsi="仿宋_GB2312" w:eastAsia="仿宋_GB2312" w:cs="仿宋_GB2312"/>
          <w:spacing w:val="-6"/>
          <w:sz w:val="32"/>
          <w:szCs w:val="32"/>
        </w:rPr>
        <w:t>6月</w:t>
      </w:r>
      <w:r>
        <w:rPr>
          <w:rFonts w:hint="eastAsia" w:ascii="仿宋_GB2312" w:hAnsi="仿宋_GB2312" w:eastAsia="仿宋_GB2312" w:cs="仿宋_GB2312"/>
          <w:spacing w:val="-6"/>
          <w:sz w:val="32"/>
          <w:szCs w:val="32"/>
          <w:lang w:val="en-US" w:eastAsia="zh-CN"/>
        </w:rPr>
        <w:t>以来</w:t>
      </w:r>
      <w:r>
        <w:rPr>
          <w:rFonts w:hint="eastAsia" w:ascii="仿宋_GB2312" w:hAnsi="仿宋_GB2312" w:eastAsia="仿宋_GB2312" w:cs="仿宋_GB2312"/>
          <w:spacing w:val="-6"/>
          <w:sz w:val="32"/>
          <w:szCs w:val="32"/>
        </w:rPr>
        <w:t>深加工行业开工率偏低，7月初复产导致煤焦油需求增加，但同期炭黑市场推涨运行、蒽油价格下跌，导致深加工企业亏损面扩大，采购积极性转弱，部分企业开始压价。</w:t>
      </w:r>
      <w:r>
        <w:rPr>
          <w:rFonts w:hint="eastAsia" w:ascii="仿宋_GB2312" w:hAnsi="仿宋_GB2312" w:eastAsia="仿宋_GB2312" w:cs="仿宋_GB2312"/>
          <w:b/>
          <w:bCs/>
          <w:spacing w:val="-6"/>
          <w:sz w:val="32"/>
          <w:szCs w:val="32"/>
          <w:lang w:val="en-US" w:eastAsia="zh-CN"/>
        </w:rPr>
        <w:t>二是</w:t>
      </w:r>
      <w:r>
        <w:rPr>
          <w:rFonts w:hint="eastAsia" w:ascii="仿宋_GB2312" w:hAnsi="仿宋_GB2312" w:eastAsia="仿宋_GB2312" w:cs="仿宋_GB2312"/>
          <w:b/>
          <w:bCs/>
          <w:spacing w:val="-6"/>
          <w:sz w:val="32"/>
          <w:szCs w:val="32"/>
        </w:rPr>
        <w:t>全球原油供应增加</w:t>
      </w:r>
      <w:r>
        <w:rPr>
          <w:rFonts w:hint="eastAsia" w:ascii="仿宋_GB2312" w:hAnsi="仿宋_GB2312" w:eastAsia="仿宋_GB2312" w:cs="仿宋_GB2312"/>
          <w:b/>
          <w:bCs/>
          <w:spacing w:val="-6"/>
          <w:sz w:val="32"/>
          <w:szCs w:val="32"/>
          <w:lang w:eastAsia="zh-CN"/>
        </w:rPr>
        <w:t>。</w:t>
      </w:r>
      <w:r>
        <w:rPr>
          <w:rFonts w:hint="eastAsia" w:ascii="仿宋_GB2312" w:hAnsi="仿宋_GB2312" w:eastAsia="仿宋_GB2312" w:cs="仿宋_GB2312"/>
          <w:spacing w:val="-6"/>
          <w:sz w:val="32"/>
          <w:szCs w:val="32"/>
        </w:rPr>
        <w:t>欧佩克+成员国7月启动增产计划，8月进一步增产54.8万桶/日，叠加美国页岩油产量创历史新高（1360万桶/日），全球原油供应过剩加剧，间接影响焦油市场价格走势。</w:t>
      </w:r>
      <w:r>
        <w:rPr>
          <w:rFonts w:hint="eastAsia" w:ascii="仿宋_GB2312" w:hAnsi="仿宋_GB2312" w:eastAsia="仿宋_GB2312" w:cs="仿宋_GB2312"/>
          <w:b/>
          <w:bCs/>
          <w:spacing w:val="-6"/>
          <w:sz w:val="32"/>
          <w:szCs w:val="32"/>
          <w:lang w:val="en-US" w:eastAsia="zh-CN"/>
        </w:rPr>
        <w:t>三是</w:t>
      </w:r>
      <w:r>
        <w:rPr>
          <w:rFonts w:hint="eastAsia" w:ascii="仿宋_GB2312" w:hAnsi="仿宋_GB2312" w:eastAsia="仿宋_GB2312" w:cs="仿宋_GB2312"/>
          <w:b/>
          <w:bCs/>
          <w:spacing w:val="-6"/>
          <w:sz w:val="32"/>
          <w:szCs w:val="32"/>
        </w:rPr>
        <w:t>市场需求疲软</w:t>
      </w:r>
      <w:r>
        <w:rPr>
          <w:rFonts w:hint="eastAsia" w:ascii="仿宋_GB2312" w:hAnsi="仿宋_GB2312" w:eastAsia="仿宋_GB2312" w:cs="仿宋_GB2312"/>
          <w:b/>
          <w:bCs/>
          <w:spacing w:val="-6"/>
          <w:sz w:val="32"/>
          <w:szCs w:val="32"/>
          <w:lang w:eastAsia="zh-CN"/>
        </w:rPr>
        <w:t>。</w:t>
      </w:r>
      <w:r>
        <w:rPr>
          <w:rFonts w:hint="eastAsia" w:ascii="仿宋_GB2312" w:hAnsi="仿宋_GB2312" w:eastAsia="仿宋_GB2312" w:cs="仿宋_GB2312"/>
          <w:spacing w:val="-6"/>
          <w:sz w:val="32"/>
          <w:szCs w:val="32"/>
        </w:rPr>
        <w:t>国内成品油市场受油价调整机制影响，7月油价调整三次但幅度较小（最高涨幅235元/吨，最低跌幅125元/吨），消费者对高价成品油接受度降低，间接影响原料煤焦油需求。</w:t>
      </w:r>
      <w:r>
        <w:rPr>
          <w:rFonts w:hint="eastAsia" w:ascii="仿宋_GB2312" w:hAnsi="仿宋_GB2312" w:eastAsia="仿宋_GB2312" w:cs="仿宋_GB2312"/>
          <w:spacing w:val="-6"/>
          <w:sz w:val="32"/>
          <w:szCs w:val="32"/>
          <w:lang w:val="en-US" w:eastAsia="zh-CN"/>
        </w:rPr>
        <w:t>受下游刚需采买及成本压力影响，</w:t>
      </w:r>
      <w:r>
        <w:rPr>
          <w:rFonts w:hint="eastAsia" w:ascii="仿宋_GB2312" w:hAnsi="仿宋_GB2312" w:eastAsia="仿宋_GB2312" w:cs="仿宋_GB2312"/>
          <w:spacing w:val="-6"/>
          <w:sz w:val="32"/>
          <w:szCs w:val="32"/>
        </w:rPr>
        <w:t>‌‌</w:t>
      </w:r>
      <w:r>
        <w:rPr>
          <w:rFonts w:hint="eastAsia" w:ascii="仿宋_GB2312" w:hAnsi="仿宋_GB2312" w:eastAsia="仿宋_GB2312" w:cs="仿宋_GB2312"/>
          <w:b/>
          <w:bCs/>
          <w:spacing w:val="-6"/>
          <w:sz w:val="32"/>
          <w:szCs w:val="32"/>
        </w:rPr>
        <w:t>预计</w:t>
      </w:r>
      <w:r>
        <w:rPr>
          <w:rFonts w:hint="eastAsia" w:ascii="仿宋_GB2312" w:hAnsi="仿宋_GB2312" w:eastAsia="仿宋_GB2312" w:cs="仿宋_GB2312"/>
          <w:spacing w:val="-6"/>
          <w:sz w:val="32"/>
          <w:szCs w:val="32"/>
        </w:rPr>
        <w:t>下月我市焦油</w:t>
      </w:r>
      <w:r>
        <w:rPr>
          <w:rFonts w:hint="eastAsia" w:ascii="仿宋_GB2312" w:hAnsi="仿宋_GB2312" w:eastAsia="仿宋_GB2312" w:cs="仿宋_GB2312"/>
          <w:spacing w:val="-6"/>
          <w:sz w:val="32"/>
          <w:szCs w:val="32"/>
          <w:lang w:val="en-US" w:eastAsia="zh-CN"/>
        </w:rPr>
        <w:t>价格</w:t>
      </w:r>
      <w:r>
        <w:rPr>
          <w:rFonts w:hint="eastAsia" w:ascii="仿宋_GB2312" w:hAnsi="仿宋_GB2312" w:eastAsia="仿宋_GB2312" w:cs="仿宋_GB2312"/>
          <w:spacing w:val="-6"/>
          <w:sz w:val="32"/>
          <w:szCs w:val="32"/>
        </w:rPr>
        <w:t>或</w:t>
      </w:r>
      <w:r>
        <w:rPr>
          <w:rFonts w:hint="eastAsia" w:ascii="仿宋_GB2312" w:hAnsi="仿宋_GB2312" w:eastAsia="仿宋_GB2312" w:cs="仿宋_GB2312"/>
          <w:spacing w:val="-6"/>
          <w:sz w:val="32"/>
          <w:szCs w:val="32"/>
          <w:lang w:val="en-US" w:eastAsia="zh-CN"/>
        </w:rPr>
        <w:t>消化前期涨幅后趋稳运行，局部区域可能出现回调</w:t>
      </w:r>
      <w:r>
        <w:rPr>
          <w:rFonts w:hint="eastAsia" w:ascii="仿宋_GB2312" w:hAnsi="仿宋_GB2312" w:eastAsia="仿宋_GB2312" w:cs="仿宋_GB2312"/>
          <w:spacing w:val="-6"/>
          <w:sz w:val="32"/>
          <w:szCs w:val="32"/>
        </w:rPr>
        <w:t>。</w:t>
      </w:r>
      <w:r>
        <w:rPr>
          <w:rFonts w:hint="eastAsia" w:ascii="仿宋_GB2312" w:hAnsi="仿宋_GB2312" w:eastAsia="仿宋_GB2312" w:cs="仿宋_GB2312"/>
          <w:b/>
          <w:bCs/>
          <w:spacing w:val="-6"/>
          <w:sz w:val="32"/>
          <w:szCs w:val="32"/>
        </w:rPr>
        <w:t>电石方面：</w:t>
      </w:r>
      <w:r>
        <w:rPr>
          <w:rFonts w:hint="eastAsia" w:ascii="仿宋_GB2312" w:hAnsi="仿宋_GB2312" w:eastAsia="仿宋_GB2312" w:cs="仿宋_GB2312"/>
          <w:spacing w:val="-6"/>
          <w:sz w:val="32"/>
          <w:szCs w:val="32"/>
        </w:rPr>
        <w:t>本月我市电石价格</w:t>
      </w:r>
      <w:r>
        <w:rPr>
          <w:rFonts w:hint="eastAsia" w:ascii="仿宋_GB2312" w:hAnsi="仿宋_GB2312" w:eastAsia="仿宋_GB2312" w:cs="仿宋_GB2312"/>
          <w:spacing w:val="-6"/>
          <w:sz w:val="32"/>
          <w:szCs w:val="32"/>
          <w:lang w:eastAsia="zh-CN"/>
        </w:rPr>
        <w:t>重心</w:t>
      </w:r>
      <w:r>
        <w:rPr>
          <w:rFonts w:hint="eastAsia" w:ascii="仿宋_GB2312" w:hAnsi="仿宋_GB2312" w:eastAsia="仿宋_GB2312" w:cs="仿宋_GB2312"/>
          <w:spacing w:val="-6"/>
          <w:sz w:val="32"/>
          <w:szCs w:val="32"/>
          <w:lang w:val="en-US" w:eastAsia="zh-CN"/>
        </w:rPr>
        <w:t>继续</w:t>
      </w:r>
      <w:r>
        <w:rPr>
          <w:rFonts w:hint="eastAsia" w:ascii="仿宋_GB2312" w:hAnsi="仿宋_GB2312" w:eastAsia="仿宋_GB2312" w:cs="仿宋_GB2312"/>
          <w:spacing w:val="-6"/>
          <w:sz w:val="32"/>
          <w:szCs w:val="32"/>
        </w:rPr>
        <w:t>下</w:t>
      </w:r>
      <w:r>
        <w:rPr>
          <w:rFonts w:hint="eastAsia" w:ascii="仿宋_GB2312" w:hAnsi="仿宋_GB2312" w:eastAsia="仿宋_GB2312" w:cs="仿宋_GB2312"/>
          <w:spacing w:val="-6"/>
          <w:sz w:val="32"/>
          <w:szCs w:val="32"/>
          <w:lang w:eastAsia="zh-CN"/>
        </w:rPr>
        <w:t>移</w:t>
      </w:r>
      <w:r>
        <w:rPr>
          <w:rFonts w:hint="eastAsia" w:ascii="仿宋_GB2312" w:hAnsi="仿宋_GB2312" w:eastAsia="仿宋_GB2312" w:cs="仿宋_GB2312"/>
          <w:spacing w:val="-6"/>
          <w:sz w:val="32"/>
          <w:szCs w:val="32"/>
        </w:rPr>
        <w:t>。</w:t>
      </w:r>
      <w:r>
        <w:rPr>
          <w:rFonts w:hint="eastAsia" w:ascii="仿宋_GB2312" w:hAnsi="仿宋_GB2312" w:eastAsia="仿宋_GB2312" w:cs="仿宋_GB2312"/>
          <w:b/>
          <w:bCs/>
          <w:spacing w:val="-6"/>
          <w:sz w:val="32"/>
          <w:szCs w:val="32"/>
        </w:rPr>
        <w:t>主要原因分析：一是</w:t>
      </w:r>
      <w:r>
        <w:rPr>
          <w:rFonts w:hint="eastAsia" w:ascii="仿宋_GB2312" w:hAnsi="仿宋_GB2312" w:eastAsia="仿宋_GB2312" w:cs="仿宋_GB2312"/>
          <w:b/>
          <w:bCs/>
          <w:spacing w:val="-6"/>
          <w:sz w:val="32"/>
          <w:szCs w:val="32"/>
          <w:lang w:eastAsia="zh-CN"/>
        </w:rPr>
        <w:t>成本端压力缓解。</w:t>
      </w:r>
      <w:r>
        <w:rPr>
          <w:rFonts w:hint="eastAsia" w:ascii="仿宋_GB2312" w:hAnsi="仿宋_GB2312" w:eastAsia="仿宋_GB2312" w:cs="仿宋_GB2312"/>
          <w:spacing w:val="-6"/>
          <w:sz w:val="32"/>
          <w:szCs w:val="32"/>
          <w:lang w:val="en-US" w:eastAsia="zh-CN"/>
        </w:rPr>
        <w:t>今</w:t>
      </w:r>
      <w:r>
        <w:rPr>
          <w:rFonts w:hint="eastAsia" w:ascii="仿宋_GB2312" w:hAnsi="仿宋_GB2312" w:eastAsia="仿宋_GB2312" w:cs="仿宋_GB2312"/>
          <w:spacing w:val="-6"/>
          <w:sz w:val="32"/>
          <w:szCs w:val="32"/>
          <w:lang w:eastAsia="zh-CN"/>
        </w:rPr>
        <w:t>年上半年电石原料甲醇价格回暖，但电石自身价格持续走低，导致电石法PVC生产成本环比下降至5028元/吨，企业仍面临亏损。</w:t>
      </w:r>
      <w:r>
        <w:rPr>
          <w:rFonts w:hint="eastAsia" w:ascii="仿宋_GB2312" w:hAnsi="仿宋_GB2312" w:eastAsia="仿宋_GB2312" w:cs="仿宋_GB2312"/>
          <w:b/>
          <w:bCs/>
          <w:spacing w:val="-6"/>
          <w:sz w:val="32"/>
          <w:szCs w:val="32"/>
          <w:lang w:val="en-US" w:eastAsia="zh-CN"/>
        </w:rPr>
        <w:t>二是</w:t>
      </w:r>
      <w:r>
        <w:rPr>
          <w:rFonts w:hint="eastAsia" w:ascii="仿宋_GB2312" w:hAnsi="仿宋_GB2312" w:eastAsia="仿宋_GB2312" w:cs="仿宋_GB2312"/>
          <w:b/>
          <w:bCs/>
          <w:spacing w:val="-6"/>
          <w:sz w:val="32"/>
          <w:szCs w:val="32"/>
          <w:lang w:eastAsia="zh-CN"/>
        </w:rPr>
        <w:t>需求进入传统淡季。</w:t>
      </w:r>
      <w:r>
        <w:rPr>
          <w:rFonts w:hint="eastAsia" w:ascii="仿宋_GB2312" w:hAnsi="仿宋_GB2312" w:eastAsia="仿宋_GB2312" w:cs="仿宋_GB2312"/>
          <w:spacing w:val="-6"/>
          <w:sz w:val="32"/>
          <w:szCs w:val="32"/>
          <w:lang w:eastAsia="zh-CN"/>
        </w:rPr>
        <w:t>7月处于行业检修期，下游PVC、BDO等行业开工率降低，需求缩减明显，导致原料消化量减少，进一步压制电石价格。</w:t>
      </w:r>
      <w:r>
        <w:rPr>
          <w:rFonts w:hint="eastAsia" w:ascii="仿宋_GB2312" w:hAnsi="仿宋_GB2312" w:eastAsia="仿宋_GB2312" w:cs="仿宋_GB2312"/>
          <w:b/>
          <w:bCs/>
          <w:spacing w:val="-6"/>
          <w:sz w:val="32"/>
          <w:szCs w:val="32"/>
          <w:lang w:val="en-US" w:eastAsia="zh-CN"/>
        </w:rPr>
        <w:t>三是</w:t>
      </w:r>
      <w:r>
        <w:rPr>
          <w:rFonts w:hint="eastAsia" w:ascii="仿宋_GB2312" w:hAnsi="仿宋_GB2312" w:eastAsia="仿宋_GB2312" w:cs="仿宋_GB2312"/>
          <w:b/>
          <w:bCs/>
          <w:spacing w:val="-6"/>
          <w:sz w:val="32"/>
          <w:szCs w:val="32"/>
          <w:lang w:eastAsia="zh-CN"/>
        </w:rPr>
        <w:t>供应阶段性过剩。</w:t>
      </w:r>
      <w:r>
        <w:rPr>
          <w:rFonts w:hint="eastAsia" w:ascii="仿宋_GB2312" w:hAnsi="仿宋_GB2312" w:eastAsia="仿宋_GB2312" w:cs="仿宋_GB2312"/>
          <w:spacing w:val="-6"/>
          <w:sz w:val="32"/>
          <w:szCs w:val="32"/>
          <w:lang w:eastAsia="zh-CN"/>
        </w:rPr>
        <w:t>内蒙古等地电石产能维持高开工率，叠加陕西等地因电力检修导致的临时减产，市场整体供应量仍高于需求，供需失衡加剧</w:t>
      </w:r>
      <w:r>
        <w:rPr>
          <w:rFonts w:hint="eastAsia" w:ascii="仿宋_GB2312" w:hAnsi="仿宋_GB2312" w:eastAsia="仿宋_GB2312" w:cs="仿宋_GB2312"/>
          <w:spacing w:val="-6"/>
          <w:sz w:val="32"/>
          <w:szCs w:val="32"/>
          <w:lang w:val="en-US" w:eastAsia="zh-CN"/>
        </w:rPr>
        <w:t>价格下行</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b/>
          <w:bCs/>
          <w:spacing w:val="-6"/>
          <w:sz w:val="32"/>
          <w:szCs w:val="32"/>
        </w:rPr>
        <w:t>‌</w:t>
      </w:r>
      <w:r>
        <w:rPr>
          <w:rFonts w:hint="eastAsia" w:ascii="仿宋_GB2312" w:hAnsi="仿宋_GB2312" w:eastAsia="仿宋_GB2312" w:cs="仿宋_GB2312"/>
          <w:spacing w:val="-6"/>
          <w:sz w:val="32"/>
          <w:szCs w:val="32"/>
        </w:rPr>
        <w:t>‌</w:t>
      </w:r>
      <w:r>
        <w:rPr>
          <w:rFonts w:hint="eastAsia" w:ascii="仿宋_GB2312" w:hAnsi="仿宋_GB2312" w:eastAsia="仿宋_GB2312" w:cs="仿宋_GB2312"/>
          <w:b/>
          <w:bCs/>
          <w:spacing w:val="-6"/>
          <w:sz w:val="32"/>
          <w:szCs w:val="32"/>
        </w:rPr>
        <w:t>预计</w:t>
      </w:r>
      <w:r>
        <w:rPr>
          <w:rFonts w:hint="eastAsia" w:ascii="仿宋_GB2312" w:hAnsi="仿宋_GB2312" w:eastAsia="仿宋_GB2312" w:cs="仿宋_GB2312"/>
          <w:spacing w:val="-6"/>
          <w:sz w:val="32"/>
          <w:szCs w:val="32"/>
        </w:rPr>
        <w:t>下月我市电石市场价格或将</w:t>
      </w:r>
      <w:r>
        <w:rPr>
          <w:rFonts w:hint="eastAsia" w:ascii="仿宋_GB2312" w:hAnsi="仿宋_GB2312" w:eastAsia="仿宋_GB2312" w:cs="仿宋_GB2312"/>
          <w:spacing w:val="-6"/>
          <w:sz w:val="32"/>
          <w:szCs w:val="32"/>
          <w:lang w:eastAsia="zh-CN"/>
        </w:rPr>
        <w:t>延续</w:t>
      </w:r>
      <w:r>
        <w:rPr>
          <w:rFonts w:hint="eastAsia" w:ascii="仿宋_GB2312" w:hAnsi="仿宋_GB2312" w:eastAsia="仿宋_GB2312" w:cs="仿宋_GB2312"/>
          <w:spacing w:val="-6"/>
          <w:sz w:val="32"/>
          <w:szCs w:val="32"/>
          <w:lang w:val="en-US" w:eastAsia="zh-CN"/>
        </w:rPr>
        <w:t>当前平稳</w:t>
      </w:r>
      <w:r>
        <w:rPr>
          <w:rFonts w:hint="eastAsia" w:ascii="仿宋_GB2312" w:hAnsi="仿宋_GB2312" w:eastAsia="仿宋_GB2312" w:cs="仿宋_GB2312"/>
          <w:spacing w:val="-6"/>
          <w:sz w:val="32"/>
          <w:szCs w:val="32"/>
        </w:rPr>
        <w:t>震荡</w:t>
      </w:r>
      <w:r>
        <w:rPr>
          <w:rFonts w:hint="eastAsia" w:ascii="仿宋_GB2312" w:hAnsi="仿宋_GB2312" w:eastAsia="仿宋_GB2312" w:cs="仿宋_GB2312"/>
          <w:spacing w:val="-6"/>
          <w:sz w:val="32"/>
          <w:szCs w:val="32"/>
          <w:lang w:val="en-US" w:eastAsia="zh-CN"/>
        </w:rPr>
        <w:t>走势</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val="en-US" w:eastAsia="zh-CN"/>
        </w:rPr>
        <w:t>涨幅空间较为有限</w:t>
      </w:r>
      <w:r>
        <w:rPr>
          <w:rFonts w:hint="eastAsia" w:ascii="仿宋_GB2312" w:hAnsi="仿宋_GB2312" w:eastAsia="仿宋_GB2312" w:cs="仿宋_GB2312"/>
          <w:spacing w:val="-6"/>
          <w:sz w:val="32"/>
          <w:szCs w:val="32"/>
        </w:rPr>
        <w:t>。</w:t>
      </w:r>
      <w:r>
        <w:rPr>
          <w:rFonts w:hint="eastAsia" w:ascii="仿宋_GB2312" w:hAnsi="仿宋_GB2312" w:eastAsia="仿宋_GB2312" w:cs="仿宋_GB2312"/>
          <w:b/>
          <w:bCs/>
          <w:spacing w:val="-6"/>
          <w:sz w:val="32"/>
          <w:szCs w:val="32"/>
        </w:rPr>
        <w:t>兰炭方面：</w:t>
      </w:r>
      <w:r>
        <w:rPr>
          <w:rFonts w:hint="eastAsia" w:ascii="仿宋_GB2312" w:hAnsi="仿宋_GB2312" w:eastAsia="仿宋_GB2312" w:cs="仿宋_GB2312"/>
          <w:spacing w:val="-6"/>
          <w:sz w:val="32"/>
          <w:szCs w:val="32"/>
        </w:rPr>
        <w:t>本月我市兰炭价格</w:t>
      </w:r>
      <w:r>
        <w:rPr>
          <w:rFonts w:hint="eastAsia" w:ascii="仿宋_GB2312" w:hAnsi="仿宋_GB2312" w:eastAsia="仿宋_GB2312" w:cs="仿宋_GB2312"/>
          <w:spacing w:val="-6"/>
          <w:sz w:val="32"/>
          <w:szCs w:val="32"/>
          <w:lang w:val="en-US" w:eastAsia="zh-CN"/>
        </w:rPr>
        <w:t>小幅下行</w:t>
      </w:r>
      <w:r>
        <w:rPr>
          <w:rFonts w:hint="eastAsia" w:ascii="仿宋_GB2312" w:hAnsi="仿宋_GB2312" w:eastAsia="仿宋_GB2312" w:cs="仿宋_GB2312"/>
          <w:spacing w:val="-6"/>
          <w:sz w:val="32"/>
          <w:szCs w:val="32"/>
        </w:rPr>
        <w:t>。</w:t>
      </w:r>
      <w:r>
        <w:rPr>
          <w:rFonts w:hint="eastAsia" w:ascii="仿宋_GB2312" w:hAnsi="仿宋_GB2312" w:eastAsia="仿宋_GB2312" w:cs="仿宋_GB2312"/>
          <w:b/>
          <w:bCs/>
          <w:spacing w:val="-6"/>
          <w:sz w:val="32"/>
          <w:szCs w:val="32"/>
        </w:rPr>
        <w:t>主要原因分析：一是供应增加导致市场承压</w:t>
      </w:r>
      <w:r>
        <w:rPr>
          <w:rFonts w:hint="eastAsia" w:ascii="仿宋_GB2312" w:hAnsi="仿宋_GB2312" w:eastAsia="仿宋_GB2312" w:cs="仿宋_GB2312"/>
          <w:b/>
          <w:bCs/>
          <w:spacing w:val="-6"/>
          <w:sz w:val="32"/>
          <w:szCs w:val="32"/>
          <w:lang w:eastAsia="zh-CN"/>
        </w:rPr>
        <w:t>。</w:t>
      </w:r>
      <w:r>
        <w:rPr>
          <w:rFonts w:hint="eastAsia" w:ascii="仿宋_GB2312" w:hAnsi="仿宋_GB2312" w:eastAsia="仿宋_GB2312" w:cs="仿宋_GB2312"/>
          <w:spacing w:val="-6"/>
          <w:sz w:val="32"/>
          <w:szCs w:val="32"/>
        </w:rPr>
        <w:t>当月兰炭企业受成本压力影响减产，但市场整体供应量仍高于需求，导致价格出现小幅回落。</w:t>
      </w:r>
      <w:r>
        <w:rPr>
          <w:rFonts w:hint="eastAsia" w:ascii="仿宋_GB2312" w:hAnsi="仿宋_GB2312" w:eastAsia="仿宋_GB2312" w:cs="仿宋_GB2312"/>
          <w:b/>
          <w:bCs/>
          <w:spacing w:val="-6"/>
          <w:sz w:val="32"/>
          <w:szCs w:val="32"/>
          <w:lang w:val="en-US" w:eastAsia="zh-CN"/>
        </w:rPr>
        <w:t>二是</w:t>
      </w:r>
      <w:r>
        <w:rPr>
          <w:rFonts w:hint="eastAsia" w:ascii="仿宋_GB2312" w:hAnsi="仿宋_GB2312" w:eastAsia="仿宋_GB2312" w:cs="仿宋_GB2312"/>
          <w:b/>
          <w:bCs/>
          <w:spacing w:val="-6"/>
          <w:sz w:val="32"/>
          <w:szCs w:val="32"/>
        </w:rPr>
        <w:t>下游需求未根本改善</w:t>
      </w:r>
      <w:r>
        <w:rPr>
          <w:rFonts w:hint="eastAsia" w:ascii="仿宋_GB2312" w:hAnsi="仿宋_GB2312" w:eastAsia="仿宋_GB2312" w:cs="仿宋_GB2312"/>
          <w:b/>
          <w:bCs/>
          <w:spacing w:val="-6"/>
          <w:sz w:val="32"/>
          <w:szCs w:val="32"/>
          <w:lang w:eastAsia="zh-CN"/>
        </w:rPr>
        <w:t>。</w:t>
      </w:r>
      <w:r>
        <w:rPr>
          <w:rFonts w:hint="eastAsia" w:ascii="仿宋_GB2312" w:hAnsi="仿宋_GB2312" w:eastAsia="仿宋_GB2312" w:cs="仿宋_GB2312"/>
          <w:spacing w:val="-6"/>
          <w:sz w:val="32"/>
          <w:szCs w:val="32"/>
        </w:rPr>
        <w:t>下游电石、硅铁等行业需求持续低迷，采购维持刚需状态，未能有效支撑兰炭价格。</w:t>
      </w:r>
      <w:r>
        <w:rPr>
          <w:rFonts w:hint="eastAsia" w:ascii="仿宋_GB2312" w:hAnsi="仿宋_GB2312" w:eastAsia="仿宋_GB2312" w:cs="仿宋_GB2312"/>
          <w:b/>
          <w:bCs/>
          <w:spacing w:val="-6"/>
          <w:sz w:val="32"/>
          <w:szCs w:val="32"/>
          <w:lang w:val="en-US" w:eastAsia="zh-CN"/>
        </w:rPr>
        <w:t>三是</w:t>
      </w:r>
      <w:r>
        <w:rPr>
          <w:rFonts w:hint="eastAsia" w:ascii="仿宋_GB2312" w:hAnsi="仿宋_GB2312" w:eastAsia="仿宋_GB2312" w:cs="仿宋_GB2312"/>
          <w:b/>
          <w:bCs/>
          <w:spacing w:val="-6"/>
          <w:sz w:val="32"/>
          <w:szCs w:val="32"/>
        </w:rPr>
        <w:t>原煤价格回暖增加成本压力</w:t>
      </w:r>
      <w:r>
        <w:rPr>
          <w:rFonts w:hint="eastAsia" w:ascii="仿宋_GB2312" w:hAnsi="仿宋_GB2312" w:eastAsia="仿宋_GB2312" w:cs="仿宋_GB2312"/>
          <w:b/>
          <w:bCs/>
          <w:spacing w:val="-6"/>
          <w:sz w:val="32"/>
          <w:szCs w:val="32"/>
          <w:lang w:eastAsia="zh-CN"/>
        </w:rPr>
        <w:t>。</w:t>
      </w:r>
      <w:r>
        <w:rPr>
          <w:rFonts w:hint="eastAsia" w:ascii="仿宋_GB2312" w:hAnsi="仿宋_GB2312" w:eastAsia="仿宋_GB2312" w:cs="仿宋_GB2312"/>
          <w:spacing w:val="-6"/>
          <w:sz w:val="32"/>
          <w:szCs w:val="32"/>
        </w:rPr>
        <w:t>原煤价格在7月出现回暖趋势，兰炭企业生产成本压力增大，利润空间</w:t>
      </w:r>
      <w:r>
        <w:rPr>
          <w:rFonts w:hint="eastAsia" w:ascii="仿宋_GB2312" w:hAnsi="仿宋_GB2312" w:eastAsia="仿宋_GB2312" w:cs="仿宋_GB2312"/>
          <w:spacing w:val="-6"/>
          <w:sz w:val="32"/>
          <w:szCs w:val="32"/>
          <w:lang w:val="en-US" w:eastAsia="zh-CN"/>
        </w:rPr>
        <w:t>被</w:t>
      </w:r>
      <w:r>
        <w:rPr>
          <w:rFonts w:hint="eastAsia" w:ascii="仿宋_GB2312" w:hAnsi="仿宋_GB2312" w:eastAsia="仿宋_GB2312" w:cs="仿宋_GB2312"/>
          <w:spacing w:val="-6"/>
          <w:sz w:val="32"/>
          <w:szCs w:val="32"/>
        </w:rPr>
        <w:t>压缩，进一步抑制了价格涨幅</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w:t>
      </w:r>
      <w:r>
        <w:rPr>
          <w:rFonts w:hint="eastAsia" w:ascii="仿宋_GB2312" w:hAnsi="仿宋_GB2312" w:eastAsia="仿宋_GB2312" w:cs="仿宋_GB2312"/>
          <w:b/>
          <w:bCs/>
          <w:spacing w:val="-6"/>
          <w:sz w:val="32"/>
          <w:szCs w:val="32"/>
        </w:rPr>
        <w:t>‌</w:t>
      </w:r>
      <w:r>
        <w:rPr>
          <w:rFonts w:hint="eastAsia" w:ascii="仿宋_GB2312" w:hAnsi="仿宋_GB2312" w:eastAsia="仿宋_GB2312" w:cs="仿宋_GB2312"/>
          <w:spacing w:val="-6"/>
          <w:sz w:val="32"/>
          <w:szCs w:val="32"/>
        </w:rPr>
        <w:t>‌‌</w:t>
      </w:r>
      <w:r>
        <w:rPr>
          <w:rFonts w:hint="eastAsia" w:ascii="仿宋_GB2312" w:hAnsi="仿宋_GB2312" w:eastAsia="仿宋_GB2312" w:cs="仿宋_GB2312"/>
          <w:b/>
          <w:bCs/>
          <w:spacing w:val="-6"/>
          <w:sz w:val="32"/>
          <w:szCs w:val="32"/>
        </w:rPr>
        <w:t>预计</w:t>
      </w:r>
      <w:r>
        <w:rPr>
          <w:rFonts w:hint="eastAsia" w:ascii="仿宋_GB2312" w:hAnsi="仿宋_GB2312" w:eastAsia="仿宋_GB2312" w:cs="仿宋_GB2312"/>
          <w:spacing w:val="-6"/>
          <w:sz w:val="32"/>
          <w:szCs w:val="32"/>
        </w:rPr>
        <w:t>下月我市兰炭价格或</w:t>
      </w:r>
      <w:r>
        <w:rPr>
          <w:rFonts w:hint="eastAsia" w:ascii="仿宋_GB2312" w:hAnsi="仿宋_GB2312" w:eastAsia="仿宋_GB2312" w:cs="仿宋_GB2312"/>
          <w:spacing w:val="-6"/>
          <w:sz w:val="32"/>
          <w:szCs w:val="32"/>
          <w:lang w:val="en-US" w:eastAsia="zh-CN"/>
        </w:rPr>
        <w:t>将呈现“先扬后抑”、</w:t>
      </w:r>
      <w:r>
        <w:rPr>
          <w:rFonts w:hint="eastAsia" w:ascii="仿宋_GB2312" w:hAnsi="仿宋_GB2312" w:eastAsia="仿宋_GB2312" w:cs="仿宋_GB2312"/>
          <w:spacing w:val="-6"/>
          <w:sz w:val="32"/>
          <w:szCs w:val="32"/>
        </w:rPr>
        <w:t>盘整运行</w:t>
      </w:r>
      <w:r>
        <w:rPr>
          <w:rFonts w:hint="eastAsia" w:ascii="仿宋_GB2312" w:hAnsi="仿宋_GB2312" w:eastAsia="仿宋_GB2312" w:cs="仿宋_GB2312"/>
          <w:spacing w:val="-6"/>
          <w:sz w:val="32"/>
          <w:szCs w:val="32"/>
          <w:lang w:val="en-US" w:eastAsia="zh-CN"/>
        </w:rPr>
        <w:t>态势</w:t>
      </w:r>
      <w:r>
        <w:rPr>
          <w:rFonts w:hint="eastAsia" w:ascii="仿宋_GB2312" w:hAnsi="仿宋_GB2312" w:eastAsia="仿宋_GB2312" w:cs="仿宋_GB2312"/>
          <w:spacing w:val="-6"/>
          <w:sz w:val="32"/>
          <w:szCs w:val="32"/>
        </w:rPr>
        <w:t>，需继续关注原料煤炭价格和下游需求变化情况。</w:t>
      </w:r>
    </w:p>
    <w:p w14:paraId="010D80A6">
      <w:pPr>
        <w:pStyle w:val="2"/>
        <w:ind w:left="0" w:leftChars="0" w:firstLine="0" w:firstLineChars="0"/>
      </w:pPr>
      <w:r>
        <w:drawing>
          <wp:inline distT="0" distB="0" distL="114300" distR="114300">
            <wp:extent cx="5567045" cy="2320925"/>
            <wp:effectExtent l="4445" t="4445" r="10160" b="17780"/>
            <wp:docPr id="19"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4FA3088">
      <w:pPr>
        <w:pStyle w:val="2"/>
        <w:ind w:firstLine="0" w:firstLineChars="0"/>
        <w:rPr>
          <w:rFonts w:hint="eastAsia"/>
        </w:rPr>
      </w:pPr>
      <w:r>
        <w:drawing>
          <wp:inline distT="0" distB="0" distL="114300" distR="114300">
            <wp:extent cx="5571490" cy="2564130"/>
            <wp:effectExtent l="4445" t="4445" r="5715" b="22225"/>
            <wp:docPr id="20"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7D885E7">
      <w:pPr>
        <w:pStyle w:val="2"/>
        <w:ind w:firstLine="0" w:firstLineChars="0"/>
        <w:rPr>
          <w:rFonts w:hint="eastAsia" w:ascii="楷体_GB2312" w:hAnsi="楷体_GB2312" w:eastAsia="楷体_GB2312" w:cs="楷体_GB2312"/>
          <w:b/>
          <w:bCs/>
          <w:sz w:val="32"/>
          <w:szCs w:val="32"/>
        </w:rPr>
      </w:pPr>
      <w:r>
        <w:drawing>
          <wp:inline distT="0" distB="0" distL="114300" distR="114300">
            <wp:extent cx="5582285" cy="2444115"/>
            <wp:effectExtent l="4445" t="4445" r="13970" b="8890"/>
            <wp:docPr id="2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5961C0A">
      <w:pPr>
        <w:pStyle w:val="2"/>
        <w:ind w:firstLine="0" w:firstLineChars="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附：</w:t>
      </w:r>
      <w:r>
        <w:rPr>
          <w:rFonts w:hint="eastAsia" w:ascii="楷体_GB2312" w:hAnsi="楷体_GB2312" w:eastAsia="楷体_GB2312" w:cs="楷体_GB2312"/>
          <w:b/>
          <w:bCs/>
          <w:sz w:val="32"/>
          <w:szCs w:val="32"/>
          <w:lang w:val="en-US" w:eastAsia="zh-CN"/>
        </w:rPr>
        <w:t>7</w:t>
      </w:r>
      <w:r>
        <w:rPr>
          <w:rFonts w:hint="eastAsia" w:ascii="楷体_GB2312" w:hAnsi="楷体_GB2312" w:eastAsia="楷体_GB2312" w:cs="楷体_GB2312"/>
          <w:b/>
          <w:bCs/>
          <w:sz w:val="32"/>
          <w:szCs w:val="32"/>
        </w:rPr>
        <w:t>月份我市主要能源及能化产品价格监测数据表</w:t>
      </w:r>
    </w:p>
    <w:tbl>
      <w:tblPr>
        <w:tblStyle w:val="8"/>
        <w:tblpPr w:leftFromText="180" w:rightFromText="180" w:vertAnchor="text" w:horzAnchor="page" w:tblpX="1739" w:tblpY="185"/>
        <w:tblOverlap w:val="never"/>
        <w:tblW w:w="9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2115"/>
        <w:gridCol w:w="1155"/>
        <w:gridCol w:w="1110"/>
        <w:gridCol w:w="1785"/>
        <w:gridCol w:w="1440"/>
      </w:tblGrid>
      <w:tr w14:paraId="50D3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450" w:type="dxa"/>
            <w:vAlign w:val="center"/>
          </w:tcPr>
          <w:p w14:paraId="3ABE74C3">
            <w:pPr>
              <w:snapToGrid w:val="0"/>
              <w:ind w:right="-27" w:firstLine="0" w:firstLineChars="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名  称</w:t>
            </w:r>
          </w:p>
        </w:tc>
        <w:tc>
          <w:tcPr>
            <w:tcW w:w="2115" w:type="dxa"/>
            <w:vAlign w:val="center"/>
          </w:tcPr>
          <w:p w14:paraId="37924178">
            <w:pPr>
              <w:snapToGrid w:val="0"/>
              <w:ind w:right="-27" w:firstLine="0" w:firstLineChars="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等级</w:t>
            </w:r>
          </w:p>
        </w:tc>
        <w:tc>
          <w:tcPr>
            <w:tcW w:w="1155" w:type="dxa"/>
            <w:vAlign w:val="center"/>
          </w:tcPr>
          <w:p w14:paraId="00E67044">
            <w:pPr>
              <w:snapToGrid w:val="0"/>
              <w:ind w:right="-27" w:firstLine="0" w:firstLineChars="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计量</w:t>
            </w:r>
          </w:p>
          <w:p w14:paraId="236D81C0">
            <w:pPr>
              <w:snapToGrid w:val="0"/>
              <w:ind w:right="-27" w:firstLine="0" w:firstLineChars="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w:t>
            </w:r>
          </w:p>
        </w:tc>
        <w:tc>
          <w:tcPr>
            <w:tcW w:w="1110" w:type="dxa"/>
            <w:vAlign w:val="center"/>
          </w:tcPr>
          <w:p w14:paraId="3B175A33">
            <w:pPr>
              <w:snapToGrid w:val="0"/>
              <w:ind w:right="-27" w:firstLine="0" w:firstLineChars="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价格</w:t>
            </w:r>
          </w:p>
        </w:tc>
        <w:tc>
          <w:tcPr>
            <w:tcW w:w="1785" w:type="dxa"/>
            <w:vAlign w:val="center"/>
          </w:tcPr>
          <w:p w14:paraId="09EC2565">
            <w:pPr>
              <w:snapToGrid w:val="0"/>
              <w:ind w:right="-27" w:firstLine="0" w:firstLineChars="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同比±%</w:t>
            </w:r>
          </w:p>
        </w:tc>
        <w:tc>
          <w:tcPr>
            <w:tcW w:w="1440" w:type="dxa"/>
            <w:vAlign w:val="center"/>
          </w:tcPr>
          <w:p w14:paraId="43633ACE">
            <w:pPr>
              <w:snapToGrid w:val="0"/>
              <w:ind w:right="-27" w:firstLine="0" w:firstLineChars="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环比±%</w:t>
            </w:r>
          </w:p>
        </w:tc>
      </w:tr>
      <w:tr w14:paraId="5299B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450" w:type="dxa"/>
            <w:vAlign w:val="center"/>
          </w:tcPr>
          <w:p w14:paraId="6704ECAD">
            <w:pPr>
              <w:snapToGrid w:val="0"/>
              <w:ind w:right="-27" w:firstLine="0" w:firstLineChars="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煤炭</w:t>
            </w:r>
          </w:p>
        </w:tc>
        <w:tc>
          <w:tcPr>
            <w:tcW w:w="2115" w:type="dxa"/>
            <w:vAlign w:val="center"/>
          </w:tcPr>
          <w:p w14:paraId="42F885FC">
            <w:pPr>
              <w:snapToGrid w:val="0"/>
              <w:ind w:right="-27" w:firstLine="0" w:firstLineChars="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混煤</w:t>
            </w:r>
          </w:p>
        </w:tc>
        <w:tc>
          <w:tcPr>
            <w:tcW w:w="1155" w:type="dxa"/>
            <w:vAlign w:val="center"/>
          </w:tcPr>
          <w:p w14:paraId="5338E5EB">
            <w:pPr>
              <w:snapToGrid w:val="0"/>
              <w:ind w:right="-27" w:firstLine="0" w:firstLineChars="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元/吨</w:t>
            </w:r>
          </w:p>
        </w:tc>
        <w:tc>
          <w:tcPr>
            <w:tcW w:w="1110" w:type="dxa"/>
            <w:vAlign w:val="center"/>
          </w:tcPr>
          <w:p w14:paraId="48D94C40">
            <w:pPr>
              <w:widowControl/>
              <w:ind w:firstLine="0" w:firstLineChars="0"/>
              <w:jc w:val="center"/>
              <w:textAlignment w:val="center"/>
              <w:rPr>
                <w:rFonts w:hint="default"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4</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81</w:t>
            </w:r>
          </w:p>
        </w:tc>
        <w:tc>
          <w:tcPr>
            <w:tcW w:w="1785" w:type="dxa"/>
            <w:vAlign w:val="center"/>
          </w:tcPr>
          <w:p w14:paraId="534F11F5">
            <w:pPr>
              <w:widowControl/>
              <w:ind w:firstLine="0" w:firstLineChars="0"/>
              <w:jc w:val="center"/>
              <w:textAlignment w:val="center"/>
              <w:rPr>
                <w:rFonts w:hint="eastAsia" w:ascii="仿宋_GB2312" w:hAnsi="仿宋_GB2312" w:eastAsia="仿宋_GB2312" w:cs="仿宋_GB2312"/>
                <w:sz w:val="30"/>
                <w:szCs w:val="30"/>
              </w:rPr>
            </w:pPr>
            <w:r>
              <w:rPr>
                <w:rFonts w:hint="eastAsia" w:ascii="仿宋_GB2312" w:hAnsi="宋体" w:eastAsia="仿宋_GB2312" w:cs="仿宋_GB2312"/>
                <w:color w:val="000000"/>
                <w:sz w:val="28"/>
                <w:szCs w:val="28"/>
                <w:lang w:bidi="ar"/>
              </w:rPr>
              <w:t>-</w:t>
            </w:r>
            <w:r>
              <w:rPr>
                <w:rFonts w:hint="eastAsia" w:ascii="仿宋_GB2312" w:hAnsi="宋体" w:eastAsia="仿宋_GB2312" w:cs="仿宋_GB2312"/>
                <w:color w:val="000000"/>
                <w:sz w:val="28"/>
                <w:szCs w:val="28"/>
                <w:lang w:val="en-US" w:eastAsia="zh-CN" w:bidi="ar"/>
              </w:rPr>
              <w:t>32.44</w:t>
            </w:r>
            <w:r>
              <w:rPr>
                <w:rFonts w:hint="eastAsia" w:ascii="仿宋_GB2312" w:hAnsi="仿宋_GB2312" w:eastAsia="仿宋_GB2312" w:cs="仿宋_GB2312"/>
                <w:color w:val="FF0000"/>
                <w:sz w:val="30"/>
                <w:szCs w:val="30"/>
                <w:lang w:bidi="ar"/>
              </w:rPr>
              <w:t>↓</w:t>
            </w:r>
          </w:p>
        </w:tc>
        <w:tc>
          <w:tcPr>
            <w:tcW w:w="1440" w:type="dxa"/>
            <w:vAlign w:val="center"/>
          </w:tcPr>
          <w:p w14:paraId="1B70D4A0">
            <w:pPr>
              <w:widowControl/>
              <w:ind w:firstLine="0" w:firstLineChars="0"/>
              <w:jc w:val="center"/>
              <w:textAlignment w:val="center"/>
              <w:rPr>
                <w:rFonts w:hint="eastAsia" w:ascii="仿宋_GB2312" w:hAnsi="仿宋_GB2312" w:eastAsia="仿宋_GB2312" w:cs="仿宋_GB2312"/>
                <w:sz w:val="30"/>
                <w:szCs w:val="30"/>
              </w:rPr>
            </w:pPr>
            <w:r>
              <w:rPr>
                <w:rFonts w:hint="eastAsia" w:ascii="仿宋_GB2312" w:hAnsi="宋体" w:eastAsia="仿宋_GB2312" w:cs="仿宋_GB2312"/>
                <w:color w:val="000000"/>
                <w:sz w:val="28"/>
                <w:szCs w:val="28"/>
                <w:lang w:val="en-US" w:eastAsia="zh-CN" w:bidi="ar"/>
              </w:rPr>
              <w:t>4.57</w:t>
            </w:r>
            <w:r>
              <w:rPr>
                <w:rFonts w:hint="eastAsia" w:ascii="仿宋_GB2312" w:hAnsi="仿宋_GB2312" w:eastAsia="仿宋_GB2312" w:cs="仿宋_GB2312"/>
                <w:sz w:val="30"/>
                <w:szCs w:val="30"/>
                <w:lang w:bidi="ar"/>
              </w:rPr>
              <w:t>↑</w:t>
            </w:r>
          </w:p>
        </w:tc>
      </w:tr>
      <w:tr w14:paraId="69D5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50" w:type="dxa"/>
            <w:vAlign w:val="center"/>
          </w:tcPr>
          <w:p w14:paraId="6D47D23A">
            <w:pPr>
              <w:snapToGrid w:val="0"/>
              <w:ind w:right="-27" w:firstLine="0" w:firstLineChars="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原油</w:t>
            </w:r>
          </w:p>
        </w:tc>
        <w:tc>
          <w:tcPr>
            <w:tcW w:w="2115" w:type="dxa"/>
            <w:vAlign w:val="center"/>
          </w:tcPr>
          <w:p w14:paraId="7758EE75">
            <w:pPr>
              <w:snapToGrid w:val="0"/>
              <w:ind w:right="-27" w:firstLine="0" w:firstLineChars="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合格品</w:t>
            </w:r>
          </w:p>
        </w:tc>
        <w:tc>
          <w:tcPr>
            <w:tcW w:w="1155" w:type="dxa"/>
            <w:vAlign w:val="center"/>
          </w:tcPr>
          <w:p w14:paraId="29C0F438">
            <w:pPr>
              <w:snapToGrid w:val="0"/>
              <w:ind w:right="-27" w:firstLine="0" w:firstLineChars="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元/吨</w:t>
            </w:r>
          </w:p>
        </w:tc>
        <w:tc>
          <w:tcPr>
            <w:tcW w:w="1110" w:type="dxa"/>
            <w:vAlign w:val="center"/>
          </w:tcPr>
          <w:p w14:paraId="6A65C99B">
            <w:pPr>
              <w:widowControl/>
              <w:ind w:firstLine="0" w:firstLineChars="0"/>
              <w:jc w:val="center"/>
              <w:textAlignment w:val="cente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sz w:val="28"/>
                <w:szCs w:val="28"/>
                <w:lang w:bidi="ar"/>
              </w:rPr>
              <w:t>3</w:t>
            </w:r>
            <w:r>
              <w:rPr>
                <w:rFonts w:hint="eastAsia" w:ascii="仿宋_GB2312" w:hAnsi="宋体" w:eastAsia="仿宋_GB2312" w:cs="仿宋_GB2312"/>
                <w:color w:val="000000"/>
                <w:sz w:val="28"/>
                <w:szCs w:val="28"/>
                <w:lang w:val="en-US" w:eastAsia="zh-CN" w:bidi="ar"/>
              </w:rPr>
              <w:t>72</w:t>
            </w:r>
            <w:r>
              <w:rPr>
                <w:rFonts w:hint="eastAsia" w:ascii="仿宋_GB2312" w:hAnsi="宋体" w:eastAsia="仿宋_GB2312" w:cs="仿宋_GB2312"/>
                <w:color w:val="000000"/>
                <w:sz w:val="28"/>
                <w:szCs w:val="28"/>
                <w:lang w:bidi="ar"/>
              </w:rPr>
              <w:t>0</w:t>
            </w:r>
          </w:p>
        </w:tc>
        <w:tc>
          <w:tcPr>
            <w:tcW w:w="1785" w:type="dxa"/>
            <w:vAlign w:val="center"/>
          </w:tcPr>
          <w:p w14:paraId="5DF4212A">
            <w:pPr>
              <w:widowControl/>
              <w:ind w:firstLine="0" w:firstLineChars="0"/>
              <w:jc w:val="center"/>
              <w:textAlignment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9.71</w:t>
            </w:r>
            <w:r>
              <w:rPr>
                <w:rFonts w:hint="eastAsia" w:ascii="仿宋_GB2312" w:hAnsi="仿宋_GB2312" w:eastAsia="仿宋_GB2312" w:cs="仿宋_GB2312"/>
                <w:color w:val="FF0000"/>
                <w:sz w:val="30"/>
                <w:szCs w:val="30"/>
                <w:lang w:bidi="ar"/>
              </w:rPr>
              <w:t>↓</w:t>
            </w:r>
          </w:p>
        </w:tc>
        <w:tc>
          <w:tcPr>
            <w:tcW w:w="1440" w:type="dxa"/>
            <w:vAlign w:val="center"/>
          </w:tcPr>
          <w:p w14:paraId="79A92AA3">
            <w:pPr>
              <w:widowControl/>
              <w:ind w:firstLine="0" w:firstLineChars="0"/>
              <w:jc w:val="center"/>
              <w:textAlignment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bidi="ar"/>
              </w:rPr>
              <w:t>4.49</w:t>
            </w:r>
            <w:r>
              <w:rPr>
                <w:rFonts w:hint="eastAsia" w:ascii="仿宋_GB2312" w:hAnsi="仿宋_GB2312" w:eastAsia="仿宋_GB2312" w:cs="仿宋_GB2312"/>
                <w:sz w:val="30"/>
                <w:szCs w:val="30"/>
                <w:lang w:bidi="ar"/>
              </w:rPr>
              <w:t>↑</w:t>
            </w:r>
          </w:p>
        </w:tc>
      </w:tr>
      <w:tr w14:paraId="61408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450" w:type="dxa"/>
            <w:vAlign w:val="center"/>
          </w:tcPr>
          <w:p w14:paraId="42CEEF0A">
            <w:pPr>
              <w:snapToGrid w:val="0"/>
              <w:ind w:right="-27" w:firstLine="0" w:firstLineChars="0"/>
              <w:jc w:val="center"/>
              <w:textAlignment w:val="baseline"/>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汽油</w:t>
            </w:r>
          </w:p>
        </w:tc>
        <w:tc>
          <w:tcPr>
            <w:tcW w:w="2115" w:type="dxa"/>
            <w:vAlign w:val="center"/>
          </w:tcPr>
          <w:p w14:paraId="17B52535">
            <w:pPr>
              <w:snapToGrid w:val="0"/>
              <w:ind w:right="-27" w:firstLine="0" w:firstLineChars="0"/>
              <w:jc w:val="center"/>
              <w:textAlignment w:val="baseline"/>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92#</w:t>
            </w:r>
          </w:p>
        </w:tc>
        <w:tc>
          <w:tcPr>
            <w:tcW w:w="1155" w:type="dxa"/>
            <w:vAlign w:val="center"/>
          </w:tcPr>
          <w:p w14:paraId="1B611C2D">
            <w:pPr>
              <w:snapToGrid w:val="0"/>
              <w:ind w:right="-27" w:firstLine="0" w:firstLineChars="0"/>
              <w:jc w:val="center"/>
              <w:textAlignment w:val="baseline"/>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元/升</w:t>
            </w:r>
          </w:p>
        </w:tc>
        <w:tc>
          <w:tcPr>
            <w:tcW w:w="1110" w:type="dxa"/>
            <w:vAlign w:val="center"/>
          </w:tcPr>
          <w:p w14:paraId="7782AD7B">
            <w:pPr>
              <w:widowControl/>
              <w:ind w:firstLine="0" w:firstLineChars="0"/>
              <w:jc w:val="center"/>
              <w:textAlignment w:val="center"/>
              <w:rPr>
                <w:rFonts w:hint="default"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7.20</w:t>
            </w:r>
          </w:p>
        </w:tc>
        <w:tc>
          <w:tcPr>
            <w:tcW w:w="1785" w:type="dxa"/>
            <w:vAlign w:val="center"/>
          </w:tcPr>
          <w:p w14:paraId="6B463E4B">
            <w:pPr>
              <w:widowControl/>
              <w:ind w:firstLine="0" w:firstLineChars="0"/>
              <w:jc w:val="center"/>
              <w:textAlignment w:val="cente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sz w:val="28"/>
                <w:szCs w:val="28"/>
                <w:lang w:bidi="ar"/>
              </w:rPr>
              <w:t>-</w:t>
            </w:r>
            <w:r>
              <w:rPr>
                <w:rFonts w:hint="eastAsia" w:ascii="仿宋_GB2312" w:hAnsi="宋体" w:eastAsia="仿宋_GB2312" w:cs="仿宋_GB2312"/>
                <w:color w:val="000000"/>
                <w:sz w:val="28"/>
                <w:szCs w:val="28"/>
                <w:lang w:val="en-US" w:eastAsia="zh-CN" w:bidi="ar"/>
              </w:rPr>
              <w:t>9.09</w:t>
            </w:r>
            <w:r>
              <w:rPr>
                <w:rFonts w:hint="eastAsia" w:ascii="仿宋_GB2312" w:hAnsi="仿宋_GB2312" w:eastAsia="仿宋_GB2312" w:cs="仿宋_GB2312"/>
                <w:color w:val="FF0000"/>
                <w:sz w:val="30"/>
                <w:szCs w:val="30"/>
                <w:lang w:bidi="ar"/>
              </w:rPr>
              <w:t>↓</w:t>
            </w:r>
          </w:p>
        </w:tc>
        <w:tc>
          <w:tcPr>
            <w:tcW w:w="1440" w:type="dxa"/>
            <w:vAlign w:val="center"/>
          </w:tcPr>
          <w:p w14:paraId="00D0B1C5">
            <w:pPr>
              <w:widowControl/>
              <w:ind w:firstLine="0" w:firstLineChars="0"/>
              <w:jc w:val="center"/>
              <w:textAlignment w:val="center"/>
              <w:rPr>
                <w:rFonts w:hint="eastAsia" w:ascii="仿宋_GB2312" w:hAnsi="仿宋_GB2312" w:eastAsia="仿宋_GB2312" w:cs="仿宋_GB2312"/>
                <w:color w:val="FF0000"/>
                <w:sz w:val="30"/>
                <w:szCs w:val="30"/>
              </w:rPr>
            </w:pPr>
            <w:r>
              <w:rPr>
                <w:rFonts w:hint="eastAsia" w:ascii="仿宋_GB2312" w:hAnsi="宋体" w:eastAsia="仿宋_GB2312" w:cs="仿宋_GB2312"/>
                <w:color w:val="000000"/>
                <w:sz w:val="28"/>
                <w:szCs w:val="28"/>
                <w:lang w:val="en-US" w:eastAsia="zh-CN" w:bidi="ar"/>
              </w:rPr>
              <w:t>4.20</w:t>
            </w:r>
            <w:r>
              <w:rPr>
                <w:rFonts w:hint="eastAsia" w:ascii="仿宋_GB2312" w:hAnsi="仿宋_GB2312" w:eastAsia="仿宋_GB2312" w:cs="仿宋_GB2312"/>
                <w:sz w:val="30"/>
                <w:szCs w:val="30"/>
                <w:lang w:bidi="ar"/>
              </w:rPr>
              <w:t>↑</w:t>
            </w:r>
          </w:p>
        </w:tc>
      </w:tr>
      <w:tr w14:paraId="0547B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450" w:type="dxa"/>
            <w:vAlign w:val="center"/>
          </w:tcPr>
          <w:p w14:paraId="02F02AD9">
            <w:pPr>
              <w:snapToGrid w:val="0"/>
              <w:ind w:right="-27" w:firstLine="0" w:firstLineChars="0"/>
              <w:jc w:val="center"/>
              <w:textAlignment w:val="baseline"/>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汽油</w:t>
            </w:r>
          </w:p>
        </w:tc>
        <w:tc>
          <w:tcPr>
            <w:tcW w:w="2115" w:type="dxa"/>
            <w:vAlign w:val="center"/>
          </w:tcPr>
          <w:p w14:paraId="52A86A59">
            <w:pPr>
              <w:snapToGrid w:val="0"/>
              <w:ind w:right="-27" w:firstLine="0" w:firstLineChars="0"/>
              <w:jc w:val="center"/>
              <w:textAlignment w:val="baseline"/>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95#</w:t>
            </w:r>
          </w:p>
        </w:tc>
        <w:tc>
          <w:tcPr>
            <w:tcW w:w="1155" w:type="dxa"/>
            <w:vAlign w:val="center"/>
          </w:tcPr>
          <w:p w14:paraId="2204B5EC">
            <w:pPr>
              <w:snapToGrid w:val="0"/>
              <w:ind w:right="-27" w:firstLine="0" w:firstLineChars="0"/>
              <w:jc w:val="center"/>
              <w:textAlignment w:val="baseline"/>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元/升</w:t>
            </w:r>
          </w:p>
        </w:tc>
        <w:tc>
          <w:tcPr>
            <w:tcW w:w="1110" w:type="dxa"/>
            <w:vAlign w:val="center"/>
          </w:tcPr>
          <w:p w14:paraId="29C3E432">
            <w:pPr>
              <w:widowControl/>
              <w:ind w:firstLine="0" w:firstLineChars="0"/>
              <w:jc w:val="center"/>
              <w:textAlignment w:val="center"/>
              <w:rPr>
                <w:rFonts w:hint="default"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7.</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61</w:t>
            </w:r>
          </w:p>
        </w:tc>
        <w:tc>
          <w:tcPr>
            <w:tcW w:w="1785" w:type="dxa"/>
            <w:vAlign w:val="center"/>
          </w:tcPr>
          <w:p w14:paraId="5B161440">
            <w:pPr>
              <w:widowControl/>
              <w:ind w:firstLine="0" w:firstLineChars="0"/>
              <w:jc w:val="center"/>
              <w:textAlignment w:val="cente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sz w:val="28"/>
                <w:szCs w:val="28"/>
                <w:lang w:bidi="ar"/>
              </w:rPr>
              <w:t>-</w:t>
            </w:r>
            <w:r>
              <w:rPr>
                <w:rFonts w:hint="eastAsia" w:ascii="仿宋_GB2312" w:hAnsi="宋体" w:eastAsia="仿宋_GB2312" w:cs="仿宋_GB2312"/>
                <w:color w:val="000000"/>
                <w:sz w:val="28"/>
                <w:szCs w:val="28"/>
                <w:lang w:val="en-US" w:eastAsia="zh-CN" w:bidi="ar"/>
              </w:rPr>
              <w:t>9.08</w:t>
            </w:r>
            <w:r>
              <w:rPr>
                <w:rFonts w:hint="eastAsia" w:ascii="仿宋_GB2312" w:hAnsi="仿宋_GB2312" w:eastAsia="仿宋_GB2312" w:cs="仿宋_GB2312"/>
                <w:color w:val="FF0000"/>
                <w:sz w:val="30"/>
                <w:szCs w:val="30"/>
                <w:lang w:bidi="ar"/>
              </w:rPr>
              <w:t>↓</w:t>
            </w:r>
          </w:p>
        </w:tc>
        <w:tc>
          <w:tcPr>
            <w:tcW w:w="1440" w:type="dxa"/>
            <w:vAlign w:val="center"/>
          </w:tcPr>
          <w:p w14:paraId="7913BD07">
            <w:pPr>
              <w:widowControl/>
              <w:ind w:firstLine="0" w:firstLineChars="0"/>
              <w:jc w:val="center"/>
              <w:textAlignment w:val="center"/>
              <w:rPr>
                <w:rFonts w:hint="eastAsia" w:ascii="仿宋_GB2312" w:hAnsi="仿宋_GB2312" w:eastAsia="仿宋_GB2312" w:cs="仿宋_GB2312"/>
                <w:color w:val="FF0000"/>
                <w:sz w:val="30"/>
                <w:szCs w:val="30"/>
              </w:rPr>
            </w:pPr>
            <w:r>
              <w:rPr>
                <w:rFonts w:hint="eastAsia" w:ascii="仿宋_GB2312" w:hAnsi="宋体" w:eastAsia="仿宋_GB2312" w:cs="仿宋_GB2312"/>
                <w:color w:val="000000"/>
                <w:sz w:val="28"/>
                <w:szCs w:val="28"/>
                <w:lang w:val="en-US" w:eastAsia="zh-CN" w:bidi="ar"/>
              </w:rPr>
              <w:t>4.25</w:t>
            </w:r>
            <w:r>
              <w:rPr>
                <w:rFonts w:hint="eastAsia" w:ascii="仿宋_GB2312" w:hAnsi="仿宋_GB2312" w:eastAsia="仿宋_GB2312" w:cs="仿宋_GB2312"/>
                <w:sz w:val="30"/>
                <w:szCs w:val="30"/>
                <w:lang w:bidi="ar"/>
              </w:rPr>
              <w:t>↑</w:t>
            </w:r>
          </w:p>
        </w:tc>
      </w:tr>
      <w:tr w14:paraId="08B13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450" w:type="dxa"/>
            <w:vAlign w:val="center"/>
          </w:tcPr>
          <w:p w14:paraId="2B508F58">
            <w:pPr>
              <w:snapToGrid w:val="0"/>
              <w:ind w:right="-27" w:firstLine="0" w:firstLineChars="0"/>
              <w:jc w:val="center"/>
              <w:textAlignment w:val="baseline"/>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柴油</w:t>
            </w:r>
          </w:p>
        </w:tc>
        <w:tc>
          <w:tcPr>
            <w:tcW w:w="2115" w:type="dxa"/>
            <w:vAlign w:val="center"/>
          </w:tcPr>
          <w:p w14:paraId="4C97F28B">
            <w:pPr>
              <w:snapToGrid w:val="0"/>
              <w:ind w:right="-27" w:firstLine="0" w:firstLineChars="0"/>
              <w:jc w:val="center"/>
              <w:textAlignment w:val="baseline"/>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0#</w:t>
            </w:r>
          </w:p>
        </w:tc>
        <w:tc>
          <w:tcPr>
            <w:tcW w:w="1155" w:type="dxa"/>
            <w:vAlign w:val="center"/>
          </w:tcPr>
          <w:p w14:paraId="7C409496">
            <w:pPr>
              <w:snapToGrid w:val="0"/>
              <w:ind w:right="-27" w:firstLine="0" w:firstLineChars="0"/>
              <w:jc w:val="center"/>
              <w:textAlignment w:val="baseline"/>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元/升</w:t>
            </w:r>
          </w:p>
        </w:tc>
        <w:tc>
          <w:tcPr>
            <w:tcW w:w="1110" w:type="dxa"/>
            <w:vAlign w:val="center"/>
          </w:tcPr>
          <w:p w14:paraId="54913361">
            <w:pPr>
              <w:widowControl/>
              <w:ind w:firstLine="0" w:firstLineChars="0"/>
              <w:jc w:val="center"/>
              <w:textAlignment w:val="center"/>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7.03</w:t>
            </w:r>
          </w:p>
        </w:tc>
        <w:tc>
          <w:tcPr>
            <w:tcW w:w="1785" w:type="dxa"/>
            <w:vAlign w:val="center"/>
          </w:tcPr>
          <w:p w14:paraId="616CF7DD">
            <w:pPr>
              <w:widowControl/>
              <w:ind w:firstLine="0" w:firstLineChars="0"/>
              <w:jc w:val="center"/>
              <w:textAlignment w:val="cente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sz w:val="28"/>
                <w:szCs w:val="28"/>
                <w:lang w:bidi="ar"/>
              </w:rPr>
              <w:t>-</w:t>
            </w:r>
            <w:r>
              <w:rPr>
                <w:rFonts w:hint="eastAsia" w:ascii="仿宋_GB2312" w:hAnsi="宋体" w:eastAsia="仿宋_GB2312" w:cs="仿宋_GB2312"/>
                <w:color w:val="000000"/>
                <w:sz w:val="28"/>
                <w:szCs w:val="28"/>
                <w:lang w:val="en-US" w:eastAsia="zh-CN" w:bidi="ar"/>
              </w:rPr>
              <w:t>9.76</w:t>
            </w:r>
            <w:r>
              <w:rPr>
                <w:rFonts w:hint="eastAsia" w:ascii="仿宋_GB2312" w:hAnsi="仿宋_GB2312" w:eastAsia="仿宋_GB2312" w:cs="仿宋_GB2312"/>
                <w:color w:val="FF0000"/>
                <w:sz w:val="30"/>
                <w:szCs w:val="30"/>
                <w:lang w:bidi="ar"/>
              </w:rPr>
              <w:t>↓</w:t>
            </w:r>
          </w:p>
        </w:tc>
        <w:tc>
          <w:tcPr>
            <w:tcW w:w="1440" w:type="dxa"/>
            <w:vAlign w:val="center"/>
          </w:tcPr>
          <w:p w14:paraId="2C6DBB25">
            <w:pPr>
              <w:widowControl/>
              <w:ind w:firstLine="0" w:firstLineChars="0"/>
              <w:jc w:val="center"/>
              <w:textAlignment w:val="center"/>
              <w:rPr>
                <w:rFonts w:hint="eastAsia" w:ascii="仿宋_GB2312" w:hAnsi="仿宋_GB2312" w:eastAsia="仿宋_GB2312" w:cs="仿宋_GB2312"/>
                <w:color w:val="FF0000"/>
                <w:sz w:val="30"/>
                <w:szCs w:val="30"/>
              </w:rPr>
            </w:pPr>
            <w:r>
              <w:rPr>
                <w:rFonts w:hint="eastAsia" w:ascii="仿宋_GB2312" w:hAnsi="宋体" w:eastAsia="仿宋_GB2312" w:cs="仿宋_GB2312"/>
                <w:color w:val="000000"/>
                <w:sz w:val="28"/>
                <w:szCs w:val="28"/>
                <w:lang w:val="en-US" w:eastAsia="zh-CN" w:bidi="ar"/>
              </w:rPr>
              <w:t>4.46</w:t>
            </w:r>
            <w:r>
              <w:rPr>
                <w:rFonts w:hint="eastAsia" w:ascii="仿宋_GB2312" w:hAnsi="仿宋_GB2312" w:eastAsia="仿宋_GB2312" w:cs="仿宋_GB2312"/>
                <w:sz w:val="30"/>
                <w:szCs w:val="30"/>
                <w:lang w:bidi="ar"/>
              </w:rPr>
              <w:t>↑</w:t>
            </w:r>
          </w:p>
        </w:tc>
      </w:tr>
      <w:tr w14:paraId="49B81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450" w:type="dxa"/>
            <w:vAlign w:val="center"/>
          </w:tcPr>
          <w:p w14:paraId="1183134E">
            <w:pPr>
              <w:snapToGrid w:val="0"/>
              <w:ind w:right="-27" w:firstLine="0" w:firstLineChars="0"/>
              <w:jc w:val="center"/>
              <w:textAlignment w:val="baseline"/>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聚氯乙烯</w:t>
            </w:r>
          </w:p>
        </w:tc>
        <w:tc>
          <w:tcPr>
            <w:tcW w:w="2115" w:type="dxa"/>
            <w:vAlign w:val="center"/>
          </w:tcPr>
          <w:p w14:paraId="6C8840EB">
            <w:pPr>
              <w:snapToGrid w:val="0"/>
              <w:ind w:right="-27" w:firstLine="0" w:firstLineChars="0"/>
              <w:jc w:val="center"/>
              <w:textAlignment w:val="baseline"/>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电石法生产</w:t>
            </w:r>
          </w:p>
        </w:tc>
        <w:tc>
          <w:tcPr>
            <w:tcW w:w="1155" w:type="dxa"/>
            <w:vAlign w:val="center"/>
          </w:tcPr>
          <w:p w14:paraId="422F704E">
            <w:pPr>
              <w:snapToGrid w:val="0"/>
              <w:ind w:right="-27" w:firstLine="0" w:firstLineChars="0"/>
              <w:jc w:val="center"/>
              <w:textAlignment w:val="baseline"/>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元/吨</w:t>
            </w:r>
          </w:p>
        </w:tc>
        <w:tc>
          <w:tcPr>
            <w:tcW w:w="1110" w:type="dxa"/>
            <w:vAlign w:val="center"/>
          </w:tcPr>
          <w:p w14:paraId="30F440C5">
            <w:pPr>
              <w:widowControl/>
              <w:ind w:firstLine="0" w:firstLineChars="0"/>
              <w:jc w:val="center"/>
              <w:textAlignment w:val="center"/>
              <w:rPr>
                <w:rFonts w:hint="default"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宋体" w:eastAsia="仿宋_GB2312" w:cs="仿宋_GB2312"/>
                <w:color w:val="000000"/>
                <w:sz w:val="28"/>
                <w:szCs w:val="28"/>
                <w:lang w:bidi="ar"/>
              </w:rPr>
              <w:t>4</w:t>
            </w:r>
            <w:r>
              <w:rPr>
                <w:rFonts w:hint="eastAsia" w:ascii="仿宋_GB2312" w:hAnsi="宋体" w:eastAsia="仿宋_GB2312" w:cs="仿宋_GB2312"/>
                <w:color w:val="000000"/>
                <w:sz w:val="28"/>
                <w:szCs w:val="28"/>
                <w:lang w:val="en-US" w:eastAsia="zh-CN" w:bidi="ar"/>
              </w:rPr>
              <w:t>713</w:t>
            </w:r>
          </w:p>
        </w:tc>
        <w:tc>
          <w:tcPr>
            <w:tcW w:w="1785" w:type="dxa"/>
            <w:vAlign w:val="center"/>
          </w:tcPr>
          <w:p w14:paraId="256596A4">
            <w:pPr>
              <w:widowControl/>
              <w:ind w:firstLine="0" w:firstLineChars="0"/>
              <w:jc w:val="center"/>
              <w:textAlignment w:val="center"/>
              <w:rPr>
                <w:rFonts w:hint="eastAsia" w:ascii="仿宋_GB2312" w:hAnsi="仿宋_GB2312" w:eastAsia="仿宋_GB2312" w:cs="仿宋_GB2312"/>
                <w:color w:val="000000"/>
                <w:sz w:val="30"/>
                <w:szCs w:val="30"/>
              </w:rPr>
            </w:pPr>
            <w:r>
              <w:rPr>
                <w:rFonts w:hint="eastAsia" w:ascii="仿宋_GB2312" w:hAnsi="宋体" w:eastAsia="仿宋_GB2312" w:cs="仿宋_GB2312"/>
                <w:color w:val="000000"/>
                <w:sz w:val="28"/>
                <w:szCs w:val="28"/>
                <w:lang w:bidi="ar"/>
              </w:rPr>
              <w:t>-</w:t>
            </w:r>
            <w:r>
              <w:rPr>
                <w:rFonts w:hint="eastAsia" w:ascii="仿宋_GB2312" w:hAnsi="宋体" w:eastAsia="仿宋_GB2312" w:cs="仿宋_GB2312"/>
                <w:color w:val="000000"/>
                <w:sz w:val="28"/>
                <w:szCs w:val="28"/>
                <w:lang w:val="en-US" w:eastAsia="zh-CN" w:bidi="ar"/>
              </w:rPr>
              <w:t>17.16</w:t>
            </w:r>
            <w:r>
              <w:rPr>
                <w:rFonts w:hint="eastAsia" w:ascii="仿宋_GB2312" w:hAnsi="仿宋_GB2312" w:eastAsia="仿宋_GB2312" w:cs="仿宋_GB2312"/>
                <w:color w:val="FF0000"/>
                <w:sz w:val="30"/>
                <w:szCs w:val="30"/>
                <w:lang w:bidi="ar"/>
              </w:rPr>
              <w:t>↓</w:t>
            </w:r>
          </w:p>
        </w:tc>
        <w:tc>
          <w:tcPr>
            <w:tcW w:w="1440" w:type="dxa"/>
            <w:vAlign w:val="center"/>
          </w:tcPr>
          <w:p w14:paraId="4550D996">
            <w:pPr>
              <w:widowControl/>
              <w:ind w:firstLine="0" w:firstLineChars="0"/>
              <w:jc w:val="center"/>
              <w:textAlignment w:val="center"/>
              <w:rPr>
                <w:rFonts w:hint="eastAsia" w:ascii="仿宋_GB2312" w:hAnsi="仿宋_GB2312" w:eastAsia="仿宋_GB2312" w:cs="仿宋_GB2312"/>
                <w:color w:val="000000"/>
                <w:sz w:val="30"/>
                <w:szCs w:val="30"/>
              </w:rPr>
            </w:pPr>
            <w:r>
              <w:rPr>
                <w:rFonts w:hint="eastAsia" w:ascii="仿宋_GB2312" w:hAnsi="宋体" w:eastAsia="仿宋_GB2312" w:cs="仿宋_GB2312"/>
                <w:color w:val="000000"/>
                <w:sz w:val="28"/>
                <w:szCs w:val="28"/>
                <w:lang w:val="en-US" w:eastAsia="zh-CN" w:bidi="ar"/>
              </w:rPr>
              <w:t>1.70</w:t>
            </w:r>
            <w:r>
              <w:rPr>
                <w:rFonts w:hint="eastAsia" w:ascii="仿宋_GB2312" w:hAnsi="仿宋_GB2312" w:eastAsia="仿宋_GB2312" w:cs="仿宋_GB2312"/>
                <w:sz w:val="30"/>
                <w:szCs w:val="30"/>
                <w:lang w:bidi="ar"/>
              </w:rPr>
              <w:t>↑</w:t>
            </w:r>
          </w:p>
        </w:tc>
      </w:tr>
      <w:tr w14:paraId="73667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50" w:type="dxa"/>
            <w:vAlign w:val="center"/>
          </w:tcPr>
          <w:p w14:paraId="3689F0E9">
            <w:pPr>
              <w:snapToGrid w:val="0"/>
              <w:ind w:firstLine="0" w:firstLineChars="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聚乙烯</w:t>
            </w:r>
          </w:p>
        </w:tc>
        <w:tc>
          <w:tcPr>
            <w:tcW w:w="2115" w:type="dxa"/>
            <w:vAlign w:val="center"/>
          </w:tcPr>
          <w:p w14:paraId="64EBDC6E">
            <w:pPr>
              <w:snapToGrid w:val="0"/>
              <w:ind w:firstLine="0" w:firstLineChars="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合格品</w:t>
            </w:r>
          </w:p>
        </w:tc>
        <w:tc>
          <w:tcPr>
            <w:tcW w:w="1155" w:type="dxa"/>
            <w:vAlign w:val="center"/>
          </w:tcPr>
          <w:p w14:paraId="4774543B">
            <w:pPr>
              <w:snapToGrid w:val="0"/>
              <w:ind w:firstLine="0" w:firstLineChars="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元/吨</w:t>
            </w:r>
          </w:p>
        </w:tc>
        <w:tc>
          <w:tcPr>
            <w:tcW w:w="1110" w:type="dxa"/>
            <w:vAlign w:val="center"/>
          </w:tcPr>
          <w:p w14:paraId="54D04754">
            <w:pPr>
              <w:widowControl/>
              <w:ind w:firstLine="0" w:firstLineChars="0"/>
              <w:jc w:val="center"/>
              <w:textAlignment w:val="center"/>
              <w:rPr>
                <w:rFonts w:hint="default"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宋体" w:eastAsia="仿宋_GB2312" w:cs="仿宋_GB2312"/>
                <w:color w:val="000000"/>
                <w:sz w:val="28"/>
                <w:szCs w:val="28"/>
                <w:lang w:bidi="ar"/>
              </w:rPr>
              <w:t>6</w:t>
            </w:r>
            <w:r>
              <w:rPr>
                <w:rFonts w:hint="eastAsia" w:ascii="仿宋_GB2312" w:hAnsi="宋体" w:eastAsia="仿宋_GB2312" w:cs="仿宋_GB2312"/>
                <w:color w:val="000000"/>
                <w:sz w:val="28"/>
                <w:szCs w:val="28"/>
                <w:lang w:val="en-US" w:eastAsia="zh-CN" w:bidi="ar"/>
              </w:rPr>
              <w:t>870</w:t>
            </w:r>
          </w:p>
        </w:tc>
        <w:tc>
          <w:tcPr>
            <w:tcW w:w="1785" w:type="dxa"/>
            <w:shd w:val="clear" w:color="auto" w:fill="auto"/>
            <w:vAlign w:val="center"/>
          </w:tcPr>
          <w:p w14:paraId="554D50EF">
            <w:pPr>
              <w:widowControl/>
              <w:ind w:firstLine="0" w:firstLineChars="0"/>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sz w:val="28"/>
                <w:szCs w:val="28"/>
                <w:lang w:bidi="ar"/>
              </w:rPr>
              <w:t>-</w:t>
            </w:r>
            <w:r>
              <w:rPr>
                <w:rFonts w:hint="eastAsia" w:ascii="仿宋_GB2312" w:hAnsi="宋体" w:eastAsia="仿宋_GB2312" w:cs="仿宋_GB2312"/>
                <w:color w:val="000000"/>
                <w:sz w:val="28"/>
                <w:szCs w:val="28"/>
                <w:lang w:val="en-US" w:eastAsia="zh-CN" w:bidi="ar"/>
              </w:rPr>
              <w:t>14.86</w:t>
            </w:r>
            <w:r>
              <w:rPr>
                <w:rFonts w:hint="eastAsia" w:ascii="仿宋_GB2312" w:hAnsi="仿宋_GB2312" w:eastAsia="仿宋_GB2312" w:cs="仿宋_GB2312"/>
                <w:color w:val="FF0000"/>
                <w:sz w:val="30"/>
                <w:szCs w:val="30"/>
                <w:lang w:bidi="ar"/>
              </w:rPr>
              <w:t>↓</w:t>
            </w:r>
          </w:p>
        </w:tc>
        <w:tc>
          <w:tcPr>
            <w:tcW w:w="1440" w:type="dxa"/>
            <w:shd w:val="clear" w:color="auto" w:fill="auto"/>
            <w:vAlign w:val="center"/>
          </w:tcPr>
          <w:p w14:paraId="1226BE7D">
            <w:pPr>
              <w:widowControl/>
              <w:ind w:firstLine="0" w:firstLineChars="0"/>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sz w:val="28"/>
                <w:szCs w:val="28"/>
                <w:lang w:bidi="ar"/>
              </w:rPr>
              <w:t>-</w:t>
            </w:r>
            <w:r>
              <w:rPr>
                <w:rFonts w:hint="eastAsia" w:ascii="仿宋_GB2312" w:hAnsi="宋体" w:eastAsia="仿宋_GB2312" w:cs="仿宋_GB2312"/>
                <w:color w:val="000000"/>
                <w:sz w:val="28"/>
                <w:szCs w:val="28"/>
                <w:lang w:val="en-US" w:eastAsia="zh-CN" w:bidi="ar"/>
              </w:rPr>
              <w:t>0.51</w:t>
            </w:r>
            <w:r>
              <w:rPr>
                <w:rFonts w:hint="eastAsia" w:ascii="仿宋_GB2312" w:hAnsi="仿宋_GB2312" w:eastAsia="仿宋_GB2312" w:cs="仿宋_GB2312"/>
                <w:color w:val="FF0000"/>
                <w:sz w:val="30"/>
                <w:szCs w:val="30"/>
                <w:lang w:bidi="ar"/>
              </w:rPr>
              <w:t>↓</w:t>
            </w:r>
          </w:p>
        </w:tc>
      </w:tr>
      <w:tr w14:paraId="5060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450" w:type="dxa"/>
            <w:vAlign w:val="center"/>
          </w:tcPr>
          <w:p w14:paraId="3CE9B6C6">
            <w:pPr>
              <w:snapToGrid w:val="0"/>
              <w:ind w:firstLine="0" w:firstLineChars="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聚丙烯</w:t>
            </w:r>
          </w:p>
        </w:tc>
        <w:tc>
          <w:tcPr>
            <w:tcW w:w="2115" w:type="dxa"/>
            <w:vAlign w:val="center"/>
          </w:tcPr>
          <w:p w14:paraId="6D15AB42">
            <w:pPr>
              <w:snapToGrid w:val="0"/>
              <w:ind w:firstLine="0" w:firstLineChars="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合格品</w:t>
            </w:r>
          </w:p>
        </w:tc>
        <w:tc>
          <w:tcPr>
            <w:tcW w:w="1155" w:type="dxa"/>
            <w:vAlign w:val="center"/>
          </w:tcPr>
          <w:p w14:paraId="7358014E">
            <w:pPr>
              <w:snapToGrid w:val="0"/>
              <w:ind w:firstLine="0" w:firstLineChars="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元/吨</w:t>
            </w:r>
          </w:p>
        </w:tc>
        <w:tc>
          <w:tcPr>
            <w:tcW w:w="1110" w:type="dxa"/>
            <w:shd w:val="clear" w:color="auto" w:fill="auto"/>
            <w:vAlign w:val="center"/>
          </w:tcPr>
          <w:p w14:paraId="1236F0C5">
            <w:pPr>
              <w:widowControl/>
              <w:ind w:firstLine="0" w:firstLineChars="0"/>
              <w:jc w:val="center"/>
              <w:textAlignment w:val="center"/>
              <w:rPr>
                <w:rFonts w:hint="default"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宋体" w:eastAsia="仿宋_GB2312" w:cs="仿宋_GB2312"/>
                <w:color w:val="000000"/>
                <w:sz w:val="28"/>
                <w:szCs w:val="28"/>
                <w:lang w:bidi="ar"/>
              </w:rPr>
              <w:t>6</w:t>
            </w:r>
            <w:r>
              <w:rPr>
                <w:rFonts w:hint="eastAsia" w:ascii="仿宋_GB2312" w:hAnsi="宋体" w:eastAsia="仿宋_GB2312" w:cs="仿宋_GB2312"/>
                <w:color w:val="000000"/>
                <w:sz w:val="28"/>
                <w:szCs w:val="28"/>
                <w:lang w:val="en-US" w:eastAsia="zh-CN" w:bidi="ar"/>
              </w:rPr>
              <w:t>686</w:t>
            </w:r>
          </w:p>
        </w:tc>
        <w:tc>
          <w:tcPr>
            <w:tcW w:w="1785" w:type="dxa"/>
            <w:vAlign w:val="center"/>
          </w:tcPr>
          <w:p w14:paraId="60BF6A8A">
            <w:pPr>
              <w:widowControl/>
              <w:ind w:firstLine="0" w:firstLineChars="0"/>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themeColor="text1"/>
                <w:sz w:val="30"/>
                <w:szCs w:val="30"/>
                <w:lang w:bidi="ar"/>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bidi="ar"/>
                <w14:textFill>
                  <w14:solidFill>
                    <w14:schemeClr w14:val="tx1"/>
                  </w14:solidFill>
                </w14:textFill>
              </w:rPr>
              <w:t>8.40</w:t>
            </w:r>
            <w:r>
              <w:rPr>
                <w:rFonts w:hint="eastAsia" w:ascii="仿宋_GB2312" w:hAnsi="仿宋_GB2312" w:eastAsia="仿宋_GB2312" w:cs="仿宋_GB2312"/>
                <w:color w:val="FF0000"/>
                <w:sz w:val="30"/>
                <w:szCs w:val="30"/>
                <w:lang w:bidi="ar"/>
              </w:rPr>
              <w:t>↓</w:t>
            </w:r>
          </w:p>
        </w:tc>
        <w:tc>
          <w:tcPr>
            <w:tcW w:w="1440" w:type="dxa"/>
            <w:shd w:val="clear" w:color="auto" w:fill="auto"/>
            <w:vAlign w:val="center"/>
          </w:tcPr>
          <w:p w14:paraId="2A671A15">
            <w:pPr>
              <w:widowControl/>
              <w:ind w:firstLine="0" w:firstLineChars="0"/>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sz w:val="28"/>
                <w:szCs w:val="28"/>
                <w:lang w:bidi="ar"/>
              </w:rPr>
              <w:t>-</w:t>
            </w:r>
            <w:r>
              <w:rPr>
                <w:rFonts w:hint="eastAsia" w:ascii="仿宋_GB2312" w:hAnsi="宋体" w:eastAsia="仿宋_GB2312" w:cs="仿宋_GB2312"/>
                <w:color w:val="000000"/>
                <w:sz w:val="28"/>
                <w:szCs w:val="28"/>
                <w:lang w:val="en-US" w:eastAsia="zh-CN" w:bidi="ar"/>
              </w:rPr>
              <w:t>1.40</w:t>
            </w:r>
            <w:r>
              <w:rPr>
                <w:rFonts w:hint="eastAsia" w:ascii="仿宋_GB2312" w:hAnsi="仿宋_GB2312" w:eastAsia="仿宋_GB2312" w:cs="仿宋_GB2312"/>
                <w:color w:val="FF0000"/>
                <w:sz w:val="30"/>
                <w:szCs w:val="30"/>
                <w:lang w:bidi="ar"/>
              </w:rPr>
              <w:t>↓</w:t>
            </w:r>
          </w:p>
        </w:tc>
      </w:tr>
      <w:tr w14:paraId="1DD82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50" w:type="dxa"/>
            <w:vAlign w:val="center"/>
          </w:tcPr>
          <w:p w14:paraId="1E0224DF">
            <w:pPr>
              <w:snapToGrid w:val="0"/>
              <w:ind w:right="-27" w:firstLine="0" w:firstLineChars="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甲醇</w:t>
            </w:r>
          </w:p>
        </w:tc>
        <w:tc>
          <w:tcPr>
            <w:tcW w:w="2115" w:type="dxa"/>
            <w:vAlign w:val="center"/>
          </w:tcPr>
          <w:p w14:paraId="534D510F">
            <w:pPr>
              <w:snapToGrid w:val="0"/>
              <w:ind w:right="-27" w:firstLine="0" w:firstLineChars="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精甲醇</w:t>
            </w:r>
          </w:p>
        </w:tc>
        <w:tc>
          <w:tcPr>
            <w:tcW w:w="1155" w:type="dxa"/>
            <w:vAlign w:val="center"/>
          </w:tcPr>
          <w:p w14:paraId="582B8251">
            <w:pPr>
              <w:snapToGrid w:val="0"/>
              <w:ind w:right="-27" w:firstLine="0" w:firstLineChars="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元/吨</w:t>
            </w:r>
          </w:p>
        </w:tc>
        <w:tc>
          <w:tcPr>
            <w:tcW w:w="1110" w:type="dxa"/>
            <w:vAlign w:val="center"/>
          </w:tcPr>
          <w:p w14:paraId="18333D69">
            <w:pPr>
              <w:widowControl/>
              <w:ind w:firstLine="0" w:firstLineChars="0"/>
              <w:jc w:val="center"/>
              <w:textAlignment w:val="center"/>
              <w:rPr>
                <w:rFonts w:hint="default"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宋体" w:eastAsia="仿宋_GB2312" w:cs="仿宋_GB2312"/>
                <w:color w:val="000000"/>
                <w:sz w:val="28"/>
                <w:szCs w:val="28"/>
                <w:lang w:val="en-US" w:eastAsia="zh-CN" w:bidi="ar"/>
              </w:rPr>
              <w:t>2017</w:t>
            </w:r>
          </w:p>
        </w:tc>
        <w:tc>
          <w:tcPr>
            <w:tcW w:w="1785" w:type="dxa"/>
            <w:vAlign w:val="center"/>
          </w:tcPr>
          <w:p w14:paraId="00C7B2C6">
            <w:pPr>
              <w:widowControl/>
              <w:ind w:firstLine="0" w:firstLineChars="0"/>
              <w:jc w:val="center"/>
              <w:textAlignment w:val="center"/>
              <w:rPr>
                <w:rFonts w:hint="eastAsia" w:ascii="仿宋_GB2312" w:hAnsi="仿宋_GB2312" w:eastAsia="仿宋_GB2312" w:cs="仿宋_GB2312"/>
                <w:color w:val="000000"/>
                <w:sz w:val="30"/>
                <w:szCs w:val="30"/>
              </w:rPr>
            </w:pPr>
            <w:r>
              <w:rPr>
                <w:rFonts w:hint="eastAsia" w:ascii="仿宋_GB2312" w:hAnsi="宋体" w:eastAsia="仿宋_GB2312" w:cs="仿宋_GB2312"/>
                <w:color w:val="000000"/>
                <w:sz w:val="28"/>
                <w:szCs w:val="28"/>
                <w:lang w:bidi="ar"/>
              </w:rPr>
              <w:t>-</w:t>
            </w:r>
            <w:r>
              <w:rPr>
                <w:rFonts w:hint="eastAsia" w:ascii="仿宋_GB2312" w:hAnsi="宋体" w:eastAsia="仿宋_GB2312" w:cs="仿宋_GB2312"/>
                <w:color w:val="000000"/>
                <w:sz w:val="28"/>
                <w:szCs w:val="28"/>
                <w:lang w:val="en-US" w:eastAsia="zh-CN" w:bidi="ar"/>
              </w:rPr>
              <w:t>4.72</w:t>
            </w:r>
            <w:r>
              <w:rPr>
                <w:rFonts w:hint="eastAsia" w:ascii="仿宋_GB2312" w:hAnsi="仿宋_GB2312" w:eastAsia="仿宋_GB2312" w:cs="仿宋_GB2312"/>
                <w:color w:val="FF0000"/>
                <w:sz w:val="30"/>
                <w:szCs w:val="30"/>
                <w:lang w:bidi="ar"/>
              </w:rPr>
              <w:t>↓</w:t>
            </w:r>
          </w:p>
        </w:tc>
        <w:tc>
          <w:tcPr>
            <w:tcW w:w="1440" w:type="dxa"/>
            <w:vAlign w:val="center"/>
          </w:tcPr>
          <w:p w14:paraId="0822104D">
            <w:pPr>
              <w:widowControl/>
              <w:ind w:firstLine="0" w:firstLineChars="0"/>
              <w:jc w:val="center"/>
              <w:textAlignment w:val="center"/>
              <w:rPr>
                <w:rFonts w:hint="eastAsia" w:ascii="仿宋_GB2312" w:hAnsi="仿宋_GB2312" w:eastAsia="仿宋_GB2312" w:cs="仿宋_GB2312"/>
                <w:color w:val="000000"/>
                <w:sz w:val="30"/>
                <w:szCs w:val="30"/>
              </w:rPr>
            </w:pPr>
            <w:r>
              <w:rPr>
                <w:rFonts w:hint="eastAsia" w:ascii="仿宋_GB2312" w:hAnsi="宋体" w:eastAsia="仿宋_GB2312" w:cs="仿宋_GB2312"/>
                <w:color w:val="000000"/>
                <w:sz w:val="28"/>
                <w:szCs w:val="28"/>
                <w:lang w:val="en-US" w:eastAsia="zh-CN" w:bidi="ar"/>
              </w:rPr>
              <w:t>2.75</w:t>
            </w:r>
            <w:r>
              <w:rPr>
                <w:rFonts w:hint="eastAsia" w:ascii="仿宋_GB2312" w:hAnsi="仿宋_GB2312" w:eastAsia="仿宋_GB2312" w:cs="仿宋_GB2312"/>
                <w:sz w:val="30"/>
                <w:szCs w:val="30"/>
                <w:lang w:bidi="ar"/>
              </w:rPr>
              <w:t>↑</w:t>
            </w:r>
          </w:p>
        </w:tc>
      </w:tr>
      <w:tr w14:paraId="70874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450" w:type="dxa"/>
            <w:vAlign w:val="center"/>
          </w:tcPr>
          <w:p w14:paraId="0765D0FA">
            <w:pPr>
              <w:snapToGrid w:val="0"/>
              <w:ind w:right="-27" w:firstLine="0" w:firstLineChars="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烧碱</w:t>
            </w:r>
          </w:p>
        </w:tc>
        <w:tc>
          <w:tcPr>
            <w:tcW w:w="2115" w:type="dxa"/>
            <w:vAlign w:val="center"/>
          </w:tcPr>
          <w:p w14:paraId="680EB96F">
            <w:pPr>
              <w:snapToGrid w:val="0"/>
              <w:ind w:right="-27" w:firstLine="0" w:firstLineChars="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液碱（离子膜法）含量≥30%</w:t>
            </w:r>
          </w:p>
        </w:tc>
        <w:tc>
          <w:tcPr>
            <w:tcW w:w="1155" w:type="dxa"/>
            <w:vAlign w:val="center"/>
          </w:tcPr>
          <w:p w14:paraId="17ECB8C5">
            <w:pPr>
              <w:snapToGrid w:val="0"/>
              <w:ind w:right="-27" w:firstLine="0" w:firstLineChars="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元/吨</w:t>
            </w:r>
          </w:p>
        </w:tc>
        <w:tc>
          <w:tcPr>
            <w:tcW w:w="1110" w:type="dxa"/>
            <w:vAlign w:val="center"/>
          </w:tcPr>
          <w:p w14:paraId="6F792CD7">
            <w:pPr>
              <w:widowControl/>
              <w:ind w:firstLine="0" w:firstLineChars="0"/>
              <w:jc w:val="center"/>
              <w:textAlignment w:val="center"/>
              <w:rPr>
                <w:rFonts w:hint="default"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宋体" w:eastAsia="仿宋_GB2312" w:cs="仿宋_GB2312"/>
                <w:color w:val="000000"/>
                <w:sz w:val="28"/>
                <w:szCs w:val="28"/>
                <w:lang w:bidi="ar"/>
              </w:rPr>
              <w:t>9</w:t>
            </w:r>
            <w:r>
              <w:rPr>
                <w:rFonts w:hint="eastAsia" w:ascii="仿宋_GB2312" w:hAnsi="宋体" w:eastAsia="仿宋_GB2312" w:cs="仿宋_GB2312"/>
                <w:color w:val="000000"/>
                <w:sz w:val="28"/>
                <w:szCs w:val="28"/>
                <w:lang w:val="en-US" w:eastAsia="zh-CN" w:bidi="ar"/>
              </w:rPr>
              <w:t>60</w:t>
            </w:r>
          </w:p>
        </w:tc>
        <w:tc>
          <w:tcPr>
            <w:tcW w:w="1785" w:type="dxa"/>
            <w:vAlign w:val="center"/>
          </w:tcPr>
          <w:p w14:paraId="16BA14B1">
            <w:pPr>
              <w:widowControl/>
              <w:ind w:firstLine="0" w:firstLineChars="0"/>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sz w:val="30"/>
                <w:szCs w:val="30"/>
                <w:lang w:val="en-US" w:eastAsia="zh-CN" w:bidi="ar"/>
              </w:rPr>
              <w:t>14.15</w:t>
            </w:r>
            <w:r>
              <w:rPr>
                <w:rFonts w:hint="eastAsia" w:ascii="仿宋_GB2312" w:hAnsi="仿宋_GB2312" w:eastAsia="仿宋_GB2312" w:cs="仿宋_GB2312"/>
                <w:sz w:val="30"/>
                <w:szCs w:val="30"/>
                <w:lang w:bidi="ar"/>
              </w:rPr>
              <w:t>↑</w:t>
            </w:r>
          </w:p>
        </w:tc>
        <w:tc>
          <w:tcPr>
            <w:tcW w:w="1440" w:type="dxa"/>
            <w:vAlign w:val="center"/>
          </w:tcPr>
          <w:p w14:paraId="7BB88305">
            <w:pPr>
              <w:widowControl/>
              <w:ind w:firstLine="0" w:firstLineChars="0"/>
              <w:jc w:val="center"/>
              <w:textAlignment w:val="center"/>
              <w:rPr>
                <w:rFonts w:hint="eastAsia" w:ascii="仿宋_GB2312" w:hAnsi="仿宋_GB2312" w:eastAsia="仿宋_GB2312" w:cs="仿宋_GB2312"/>
                <w:color w:val="000000"/>
                <w:sz w:val="30"/>
                <w:szCs w:val="30"/>
              </w:rPr>
            </w:pPr>
            <w:r>
              <w:rPr>
                <w:rFonts w:hint="eastAsia" w:ascii="仿宋_GB2312" w:hAnsi="宋体" w:eastAsia="仿宋_GB2312" w:cs="仿宋_GB2312"/>
                <w:color w:val="000000"/>
                <w:sz w:val="28"/>
                <w:szCs w:val="28"/>
                <w:lang w:val="en-US" w:eastAsia="zh-CN" w:bidi="ar"/>
              </w:rPr>
              <w:t>-2.34</w:t>
            </w:r>
            <w:r>
              <w:rPr>
                <w:rFonts w:hint="eastAsia" w:ascii="仿宋_GB2312" w:hAnsi="仿宋_GB2312" w:eastAsia="仿宋_GB2312" w:cs="仿宋_GB2312"/>
                <w:color w:val="FF0000"/>
                <w:sz w:val="30"/>
                <w:szCs w:val="30"/>
                <w:lang w:bidi="ar"/>
              </w:rPr>
              <w:t>↓</w:t>
            </w:r>
          </w:p>
        </w:tc>
      </w:tr>
      <w:tr w14:paraId="1A744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450" w:type="dxa"/>
            <w:shd w:val="clear" w:color="auto" w:fill="auto"/>
            <w:vAlign w:val="center"/>
          </w:tcPr>
          <w:p w14:paraId="10452D78">
            <w:pPr>
              <w:snapToGrid w:val="0"/>
              <w:ind w:firstLine="0" w:firstLineChars="0"/>
              <w:jc w:val="center"/>
              <w:textAlignment w:val="baseline"/>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硅铁</w:t>
            </w:r>
          </w:p>
        </w:tc>
        <w:tc>
          <w:tcPr>
            <w:tcW w:w="2115" w:type="dxa"/>
            <w:shd w:val="clear" w:color="auto" w:fill="auto"/>
            <w:vAlign w:val="center"/>
          </w:tcPr>
          <w:p w14:paraId="48EE16C1">
            <w:pPr>
              <w:snapToGrid w:val="0"/>
              <w:ind w:firstLine="0" w:firstLineChars="0"/>
              <w:jc w:val="center"/>
              <w:textAlignment w:val="baseline"/>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553#</w:t>
            </w:r>
          </w:p>
        </w:tc>
        <w:tc>
          <w:tcPr>
            <w:tcW w:w="1155" w:type="dxa"/>
            <w:shd w:val="clear" w:color="auto" w:fill="auto"/>
            <w:vAlign w:val="center"/>
          </w:tcPr>
          <w:p w14:paraId="70EBD2DC">
            <w:pPr>
              <w:snapToGrid w:val="0"/>
              <w:ind w:firstLine="0" w:firstLineChars="0"/>
              <w:jc w:val="center"/>
              <w:textAlignment w:val="baseline"/>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元/吨</w:t>
            </w:r>
          </w:p>
        </w:tc>
        <w:tc>
          <w:tcPr>
            <w:tcW w:w="1110" w:type="dxa"/>
            <w:shd w:val="clear" w:color="auto" w:fill="auto"/>
            <w:vAlign w:val="center"/>
          </w:tcPr>
          <w:p w14:paraId="22053F94">
            <w:pPr>
              <w:widowControl/>
              <w:ind w:firstLine="0" w:firstLineChars="0"/>
              <w:jc w:val="center"/>
              <w:textAlignment w:val="cente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sz w:val="28"/>
                <w:szCs w:val="28"/>
                <w:lang w:bidi="ar"/>
              </w:rPr>
              <w:t>8</w:t>
            </w:r>
            <w:r>
              <w:rPr>
                <w:rFonts w:hint="eastAsia" w:ascii="仿宋_GB2312" w:hAnsi="宋体" w:eastAsia="仿宋_GB2312" w:cs="仿宋_GB2312"/>
                <w:color w:val="000000"/>
                <w:sz w:val="28"/>
                <w:szCs w:val="28"/>
                <w:lang w:val="en-US" w:eastAsia="zh-CN" w:bidi="ar"/>
              </w:rPr>
              <w:t>9</w:t>
            </w:r>
            <w:r>
              <w:rPr>
                <w:rFonts w:hint="eastAsia" w:ascii="仿宋_GB2312" w:hAnsi="宋体" w:eastAsia="仿宋_GB2312" w:cs="仿宋_GB2312"/>
                <w:color w:val="000000"/>
                <w:sz w:val="28"/>
                <w:szCs w:val="28"/>
                <w:lang w:bidi="ar"/>
              </w:rPr>
              <w:t>00</w:t>
            </w:r>
          </w:p>
        </w:tc>
        <w:tc>
          <w:tcPr>
            <w:tcW w:w="1785" w:type="dxa"/>
            <w:shd w:val="clear" w:color="auto" w:fill="auto"/>
            <w:vAlign w:val="center"/>
          </w:tcPr>
          <w:p w14:paraId="3E64DBC5">
            <w:pPr>
              <w:widowControl/>
              <w:ind w:firstLine="0" w:firstLineChars="0"/>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val="en-US" w:eastAsia="zh-CN"/>
              </w:rPr>
              <w:t>36.92</w:t>
            </w:r>
            <w:r>
              <w:rPr>
                <w:rFonts w:hint="eastAsia" w:ascii="仿宋_GB2312" w:hAnsi="仿宋_GB2312" w:eastAsia="仿宋_GB2312" w:cs="仿宋_GB2312"/>
                <w:sz w:val="30"/>
                <w:szCs w:val="30"/>
                <w:lang w:bidi="ar"/>
              </w:rPr>
              <w:t>↑</w:t>
            </w:r>
          </w:p>
        </w:tc>
        <w:tc>
          <w:tcPr>
            <w:tcW w:w="1440" w:type="dxa"/>
            <w:shd w:val="clear" w:color="auto" w:fill="auto"/>
            <w:vAlign w:val="center"/>
          </w:tcPr>
          <w:p w14:paraId="3E4FE796">
            <w:pPr>
              <w:widowControl/>
              <w:ind w:firstLine="0" w:firstLineChars="0"/>
              <w:jc w:val="center"/>
              <w:textAlignment w:val="center"/>
              <w:rPr>
                <w:rFonts w:hint="eastAsia" w:ascii="仿宋_GB2312" w:hAnsi="仿宋_GB2312" w:eastAsia="仿宋_GB2312" w:cs="仿宋_GB2312"/>
                <w:color w:val="000000"/>
                <w:sz w:val="30"/>
                <w:szCs w:val="30"/>
              </w:rPr>
            </w:pPr>
            <w:r>
              <w:rPr>
                <w:rFonts w:hint="eastAsia" w:ascii="仿宋_GB2312" w:hAnsi="宋体" w:eastAsia="仿宋_GB2312" w:cs="仿宋_GB2312"/>
                <w:color w:val="000000"/>
                <w:sz w:val="28"/>
                <w:szCs w:val="28"/>
                <w:lang w:val="en-US" w:eastAsia="zh-CN" w:bidi="ar"/>
              </w:rPr>
              <w:t>11.25</w:t>
            </w:r>
            <w:r>
              <w:rPr>
                <w:rFonts w:hint="eastAsia" w:ascii="仿宋_GB2312" w:hAnsi="仿宋_GB2312" w:eastAsia="仿宋_GB2312" w:cs="仿宋_GB2312"/>
                <w:sz w:val="30"/>
                <w:szCs w:val="30"/>
                <w:lang w:bidi="ar"/>
              </w:rPr>
              <w:t>↑</w:t>
            </w:r>
          </w:p>
        </w:tc>
      </w:tr>
      <w:tr w14:paraId="673D7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50" w:type="dxa"/>
            <w:shd w:val="clear" w:color="auto" w:fill="auto"/>
            <w:vAlign w:val="center"/>
          </w:tcPr>
          <w:p w14:paraId="7A29E07A">
            <w:pPr>
              <w:snapToGrid w:val="0"/>
              <w:ind w:firstLine="0" w:firstLineChars="0"/>
              <w:jc w:val="center"/>
              <w:textAlignment w:val="baseline"/>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金属镁</w:t>
            </w:r>
          </w:p>
        </w:tc>
        <w:tc>
          <w:tcPr>
            <w:tcW w:w="2115" w:type="dxa"/>
            <w:shd w:val="clear" w:color="auto" w:fill="auto"/>
            <w:vAlign w:val="center"/>
          </w:tcPr>
          <w:p w14:paraId="3395A12E">
            <w:pPr>
              <w:snapToGrid w:val="0"/>
              <w:ind w:firstLine="0" w:firstLineChars="0"/>
              <w:jc w:val="center"/>
              <w:textAlignment w:val="baseline"/>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Mg≥99.9%</w:t>
            </w:r>
          </w:p>
        </w:tc>
        <w:tc>
          <w:tcPr>
            <w:tcW w:w="1155" w:type="dxa"/>
            <w:shd w:val="clear" w:color="auto" w:fill="auto"/>
            <w:vAlign w:val="center"/>
          </w:tcPr>
          <w:p w14:paraId="0E553B1B">
            <w:pPr>
              <w:snapToGrid w:val="0"/>
              <w:ind w:firstLine="0" w:firstLineChars="0"/>
              <w:jc w:val="center"/>
              <w:textAlignment w:val="baseline"/>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元/吨</w:t>
            </w:r>
          </w:p>
        </w:tc>
        <w:tc>
          <w:tcPr>
            <w:tcW w:w="1110" w:type="dxa"/>
            <w:shd w:val="clear" w:color="auto" w:fill="auto"/>
            <w:vAlign w:val="center"/>
          </w:tcPr>
          <w:p w14:paraId="76C922AB">
            <w:pPr>
              <w:widowControl/>
              <w:ind w:firstLine="0" w:firstLineChars="0"/>
              <w:jc w:val="center"/>
              <w:textAlignment w:val="cente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sz w:val="28"/>
                <w:szCs w:val="28"/>
                <w:lang w:bidi="ar"/>
              </w:rPr>
              <w:t>1</w:t>
            </w:r>
            <w:r>
              <w:rPr>
                <w:rFonts w:hint="eastAsia" w:ascii="仿宋_GB2312" w:hAnsi="宋体" w:eastAsia="仿宋_GB2312" w:cs="仿宋_GB2312"/>
                <w:color w:val="000000"/>
                <w:sz w:val="28"/>
                <w:szCs w:val="28"/>
                <w:lang w:val="en-US" w:eastAsia="zh-CN" w:bidi="ar"/>
              </w:rPr>
              <w:t>630</w:t>
            </w:r>
            <w:r>
              <w:rPr>
                <w:rFonts w:hint="eastAsia" w:ascii="仿宋_GB2312" w:hAnsi="宋体" w:eastAsia="仿宋_GB2312" w:cs="仿宋_GB2312"/>
                <w:color w:val="000000"/>
                <w:sz w:val="28"/>
                <w:szCs w:val="28"/>
                <w:lang w:bidi="ar"/>
              </w:rPr>
              <w:t>0</w:t>
            </w:r>
          </w:p>
        </w:tc>
        <w:tc>
          <w:tcPr>
            <w:tcW w:w="1785" w:type="dxa"/>
            <w:shd w:val="clear" w:color="auto" w:fill="auto"/>
            <w:vAlign w:val="center"/>
          </w:tcPr>
          <w:p w14:paraId="1D43EC3D">
            <w:pPr>
              <w:widowControl/>
              <w:ind w:firstLine="0" w:firstLineChars="0"/>
              <w:jc w:val="center"/>
              <w:textAlignment w:val="center"/>
              <w:rPr>
                <w:rFonts w:hint="eastAsia" w:ascii="仿宋_GB2312" w:hAnsi="仿宋_GB2312" w:eastAsia="仿宋_GB2312" w:cs="仿宋_GB2312"/>
                <w:color w:val="000000"/>
                <w:sz w:val="30"/>
                <w:szCs w:val="30"/>
              </w:rPr>
            </w:pPr>
            <w:r>
              <w:rPr>
                <w:rFonts w:hint="eastAsia" w:ascii="仿宋_GB2312" w:hAnsi="宋体" w:eastAsia="仿宋_GB2312" w:cs="仿宋_GB2312"/>
                <w:color w:val="000000"/>
                <w:sz w:val="28"/>
                <w:szCs w:val="28"/>
                <w:lang w:bidi="ar"/>
              </w:rPr>
              <w:t>-</w:t>
            </w:r>
            <w:r>
              <w:rPr>
                <w:rFonts w:hint="eastAsia" w:ascii="仿宋_GB2312" w:hAnsi="宋体" w:eastAsia="仿宋_GB2312" w:cs="仿宋_GB2312"/>
                <w:color w:val="000000"/>
                <w:sz w:val="28"/>
                <w:szCs w:val="28"/>
                <w:lang w:val="en-US" w:eastAsia="zh-CN" w:bidi="ar"/>
              </w:rPr>
              <w:t>8.17</w:t>
            </w:r>
            <w:r>
              <w:rPr>
                <w:rFonts w:hint="eastAsia" w:ascii="仿宋_GB2312" w:hAnsi="仿宋_GB2312" w:eastAsia="仿宋_GB2312" w:cs="仿宋_GB2312"/>
                <w:color w:val="FF0000"/>
                <w:sz w:val="30"/>
                <w:szCs w:val="30"/>
                <w:lang w:bidi="ar"/>
              </w:rPr>
              <w:t>↓</w:t>
            </w:r>
          </w:p>
        </w:tc>
        <w:tc>
          <w:tcPr>
            <w:tcW w:w="1440" w:type="dxa"/>
            <w:shd w:val="clear" w:color="auto" w:fill="auto"/>
            <w:vAlign w:val="center"/>
          </w:tcPr>
          <w:p w14:paraId="51CAAC36">
            <w:pPr>
              <w:widowControl/>
              <w:ind w:firstLine="0" w:firstLineChars="0"/>
              <w:jc w:val="center"/>
              <w:textAlignment w:val="center"/>
              <w:rPr>
                <w:rFonts w:hint="eastAsia" w:ascii="仿宋_GB2312" w:hAnsi="仿宋_GB2312" w:eastAsia="仿宋_GB2312" w:cs="仿宋_GB2312"/>
                <w:color w:val="000000"/>
                <w:sz w:val="30"/>
                <w:szCs w:val="30"/>
              </w:rPr>
            </w:pPr>
            <w:r>
              <w:rPr>
                <w:rFonts w:hint="eastAsia" w:ascii="仿宋_GB2312" w:hAnsi="宋体" w:eastAsia="仿宋_GB2312" w:cs="仿宋_GB2312"/>
                <w:color w:val="000000"/>
                <w:sz w:val="28"/>
                <w:szCs w:val="28"/>
                <w:lang w:val="en-US" w:eastAsia="zh-CN" w:bidi="ar"/>
              </w:rPr>
              <w:t>0.31</w:t>
            </w:r>
            <w:r>
              <w:rPr>
                <w:rFonts w:hint="eastAsia" w:ascii="仿宋_GB2312" w:hAnsi="仿宋_GB2312" w:eastAsia="仿宋_GB2312" w:cs="仿宋_GB2312"/>
                <w:sz w:val="30"/>
                <w:szCs w:val="30"/>
                <w:lang w:bidi="ar"/>
              </w:rPr>
              <w:t>↑</w:t>
            </w:r>
          </w:p>
        </w:tc>
      </w:tr>
      <w:tr w14:paraId="6F416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450" w:type="dxa"/>
            <w:shd w:val="clear" w:color="auto" w:fill="auto"/>
            <w:vAlign w:val="center"/>
          </w:tcPr>
          <w:p w14:paraId="3CB67AFE">
            <w:pPr>
              <w:snapToGrid w:val="0"/>
              <w:ind w:firstLine="0" w:firstLineChars="0"/>
              <w:jc w:val="center"/>
              <w:textAlignment w:val="baseline"/>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焦油</w:t>
            </w:r>
          </w:p>
        </w:tc>
        <w:tc>
          <w:tcPr>
            <w:tcW w:w="2115" w:type="dxa"/>
            <w:shd w:val="clear" w:color="auto" w:fill="auto"/>
            <w:vAlign w:val="center"/>
          </w:tcPr>
          <w:p w14:paraId="3F99384B">
            <w:pPr>
              <w:snapToGrid w:val="0"/>
              <w:ind w:firstLine="0" w:firstLineChars="0"/>
              <w:jc w:val="center"/>
              <w:textAlignment w:val="baseline"/>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1.05g/cm³—1.07g/cm³</w:t>
            </w:r>
          </w:p>
        </w:tc>
        <w:tc>
          <w:tcPr>
            <w:tcW w:w="1155" w:type="dxa"/>
            <w:shd w:val="clear" w:color="auto" w:fill="auto"/>
            <w:vAlign w:val="center"/>
          </w:tcPr>
          <w:p w14:paraId="74115CCD">
            <w:pPr>
              <w:snapToGrid w:val="0"/>
              <w:ind w:firstLine="0" w:firstLineChars="0"/>
              <w:jc w:val="center"/>
              <w:textAlignment w:val="baseline"/>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元/吨</w:t>
            </w:r>
          </w:p>
        </w:tc>
        <w:tc>
          <w:tcPr>
            <w:tcW w:w="1110" w:type="dxa"/>
            <w:shd w:val="clear" w:color="auto" w:fill="auto"/>
            <w:vAlign w:val="center"/>
          </w:tcPr>
          <w:p w14:paraId="59221038">
            <w:pPr>
              <w:widowControl/>
              <w:ind w:firstLine="0" w:firstLineChars="0"/>
              <w:jc w:val="center"/>
              <w:textAlignment w:val="cente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sz w:val="28"/>
                <w:szCs w:val="28"/>
                <w:lang w:bidi="ar"/>
              </w:rPr>
              <w:t>2</w:t>
            </w:r>
            <w:r>
              <w:rPr>
                <w:rFonts w:hint="eastAsia" w:ascii="仿宋_GB2312" w:hAnsi="宋体" w:eastAsia="仿宋_GB2312" w:cs="仿宋_GB2312"/>
                <w:color w:val="000000"/>
                <w:sz w:val="28"/>
                <w:szCs w:val="28"/>
                <w:lang w:val="en-US" w:eastAsia="zh-CN" w:bidi="ar"/>
              </w:rPr>
              <w:t>7</w:t>
            </w:r>
            <w:r>
              <w:rPr>
                <w:rFonts w:hint="eastAsia" w:ascii="仿宋_GB2312" w:hAnsi="宋体" w:eastAsia="仿宋_GB2312" w:cs="仿宋_GB2312"/>
                <w:color w:val="000000"/>
                <w:sz w:val="28"/>
                <w:szCs w:val="28"/>
                <w:lang w:bidi="ar"/>
              </w:rPr>
              <w:t>70</w:t>
            </w:r>
          </w:p>
        </w:tc>
        <w:tc>
          <w:tcPr>
            <w:tcW w:w="1785" w:type="dxa"/>
            <w:shd w:val="clear" w:color="auto" w:fill="auto"/>
            <w:vAlign w:val="center"/>
          </w:tcPr>
          <w:p w14:paraId="0AD515FB">
            <w:pPr>
              <w:widowControl/>
              <w:ind w:firstLine="0" w:firstLineChars="0"/>
              <w:jc w:val="center"/>
              <w:textAlignment w:val="center"/>
              <w:rPr>
                <w:rFonts w:hint="eastAsia" w:ascii="仿宋_GB2312" w:hAnsi="仿宋_GB2312" w:eastAsia="仿宋_GB2312" w:cs="仿宋_GB2312"/>
                <w:color w:val="000000"/>
                <w:sz w:val="30"/>
                <w:szCs w:val="30"/>
              </w:rPr>
            </w:pPr>
            <w:r>
              <w:rPr>
                <w:rFonts w:hint="eastAsia" w:ascii="仿宋_GB2312" w:hAnsi="宋体" w:eastAsia="仿宋_GB2312" w:cs="仿宋_GB2312"/>
                <w:color w:val="000000"/>
                <w:sz w:val="28"/>
                <w:szCs w:val="28"/>
                <w:lang w:bidi="ar"/>
              </w:rPr>
              <w:t>-</w:t>
            </w:r>
            <w:r>
              <w:rPr>
                <w:rFonts w:hint="eastAsia" w:ascii="仿宋_GB2312" w:hAnsi="宋体" w:eastAsia="仿宋_GB2312" w:cs="仿宋_GB2312"/>
                <w:color w:val="000000"/>
                <w:sz w:val="28"/>
                <w:szCs w:val="28"/>
                <w:lang w:val="en-US" w:eastAsia="zh-CN" w:bidi="ar"/>
              </w:rPr>
              <w:t>13.44</w:t>
            </w:r>
            <w:r>
              <w:rPr>
                <w:rFonts w:hint="eastAsia" w:ascii="仿宋_GB2312" w:hAnsi="仿宋_GB2312" w:eastAsia="仿宋_GB2312" w:cs="仿宋_GB2312"/>
                <w:color w:val="FF0000"/>
                <w:sz w:val="30"/>
                <w:szCs w:val="30"/>
                <w:lang w:bidi="ar"/>
              </w:rPr>
              <w:t>↓</w:t>
            </w:r>
          </w:p>
        </w:tc>
        <w:tc>
          <w:tcPr>
            <w:tcW w:w="1440" w:type="dxa"/>
            <w:shd w:val="clear" w:color="auto" w:fill="auto"/>
            <w:vAlign w:val="center"/>
          </w:tcPr>
          <w:p w14:paraId="2BB8E54C">
            <w:pPr>
              <w:widowControl/>
              <w:ind w:firstLine="0" w:firstLineChars="0"/>
              <w:jc w:val="center"/>
              <w:textAlignment w:val="center"/>
              <w:rPr>
                <w:rFonts w:hint="eastAsia" w:ascii="仿宋_GB2312" w:hAnsi="仿宋_GB2312" w:eastAsia="仿宋_GB2312" w:cs="仿宋_GB2312"/>
                <w:color w:val="000000"/>
                <w:sz w:val="30"/>
                <w:szCs w:val="30"/>
              </w:rPr>
            </w:pPr>
            <w:r>
              <w:rPr>
                <w:rFonts w:hint="eastAsia" w:ascii="仿宋_GB2312" w:hAnsi="宋体" w:eastAsia="仿宋_GB2312" w:cs="仿宋_GB2312"/>
                <w:color w:val="000000"/>
                <w:sz w:val="28"/>
                <w:szCs w:val="28"/>
                <w:lang w:val="en-US" w:eastAsia="zh-CN" w:bidi="ar"/>
              </w:rPr>
              <w:t>-3.48</w:t>
            </w:r>
            <w:r>
              <w:rPr>
                <w:rFonts w:hint="eastAsia" w:ascii="仿宋_GB2312" w:hAnsi="仿宋_GB2312" w:eastAsia="仿宋_GB2312" w:cs="仿宋_GB2312"/>
                <w:color w:val="FF0000"/>
                <w:sz w:val="30"/>
                <w:szCs w:val="30"/>
                <w:lang w:bidi="ar"/>
              </w:rPr>
              <w:t>↓</w:t>
            </w:r>
          </w:p>
        </w:tc>
      </w:tr>
      <w:tr w14:paraId="40223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450" w:type="dxa"/>
            <w:shd w:val="clear" w:color="auto" w:fill="auto"/>
            <w:vAlign w:val="center"/>
          </w:tcPr>
          <w:p w14:paraId="3B28CF9B">
            <w:pPr>
              <w:snapToGrid w:val="0"/>
              <w:ind w:firstLine="0" w:firstLineChars="0"/>
              <w:jc w:val="center"/>
              <w:textAlignment w:val="baseline"/>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电石</w:t>
            </w:r>
          </w:p>
        </w:tc>
        <w:tc>
          <w:tcPr>
            <w:tcW w:w="2115" w:type="dxa"/>
            <w:shd w:val="clear" w:color="auto" w:fill="auto"/>
            <w:vAlign w:val="center"/>
          </w:tcPr>
          <w:p w14:paraId="27B14A72">
            <w:pPr>
              <w:snapToGrid w:val="0"/>
              <w:ind w:firstLine="0" w:firstLineChars="0"/>
              <w:jc w:val="center"/>
              <w:textAlignment w:val="baseline"/>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发气量≥285L/Kg</w:t>
            </w:r>
          </w:p>
        </w:tc>
        <w:tc>
          <w:tcPr>
            <w:tcW w:w="1155" w:type="dxa"/>
            <w:shd w:val="clear" w:color="auto" w:fill="auto"/>
            <w:vAlign w:val="center"/>
          </w:tcPr>
          <w:p w14:paraId="5781C8C9">
            <w:pPr>
              <w:snapToGrid w:val="0"/>
              <w:ind w:firstLine="0" w:firstLineChars="0"/>
              <w:jc w:val="center"/>
              <w:textAlignment w:val="baseline"/>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元/吨</w:t>
            </w:r>
          </w:p>
        </w:tc>
        <w:tc>
          <w:tcPr>
            <w:tcW w:w="1110" w:type="dxa"/>
            <w:shd w:val="clear" w:color="auto" w:fill="auto"/>
            <w:vAlign w:val="center"/>
          </w:tcPr>
          <w:p w14:paraId="2900AAE7">
            <w:pPr>
              <w:widowControl/>
              <w:ind w:firstLine="0" w:firstLineChars="0"/>
              <w:jc w:val="center"/>
              <w:textAlignment w:val="cente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70</w:t>
            </w:r>
            <w:r>
              <w:rPr>
                <w:rFonts w:hint="eastAsia" w:ascii="仿宋_GB2312" w:hAnsi="仿宋_GB2312" w:eastAsia="仿宋_GB2312" w:cs="仿宋_GB2312"/>
                <w:color w:val="000000" w:themeColor="text1"/>
                <w:sz w:val="30"/>
                <w:szCs w:val="30"/>
                <w14:textFill>
                  <w14:solidFill>
                    <w14:schemeClr w14:val="tx1"/>
                  </w14:solidFill>
                </w14:textFill>
              </w:rPr>
              <w:t>0</w:t>
            </w:r>
          </w:p>
        </w:tc>
        <w:tc>
          <w:tcPr>
            <w:tcW w:w="1785" w:type="dxa"/>
            <w:shd w:val="clear" w:color="auto" w:fill="auto"/>
            <w:vAlign w:val="center"/>
          </w:tcPr>
          <w:p w14:paraId="19A91844">
            <w:pPr>
              <w:widowControl/>
              <w:ind w:firstLine="0" w:firstLineChars="0"/>
              <w:jc w:val="center"/>
              <w:textAlignment w:val="center"/>
              <w:rPr>
                <w:rFonts w:hint="eastAsia" w:ascii="仿宋_GB2312" w:hAnsi="仿宋_GB2312" w:eastAsia="仿宋_GB2312" w:cs="仿宋_GB2312"/>
                <w:color w:val="000000"/>
                <w:sz w:val="30"/>
                <w:szCs w:val="30"/>
              </w:rPr>
            </w:pPr>
            <w:r>
              <w:rPr>
                <w:rFonts w:hint="eastAsia" w:ascii="仿宋_GB2312" w:hAnsi="宋体" w:eastAsia="仿宋_GB2312" w:cs="仿宋_GB2312"/>
                <w:color w:val="000000"/>
                <w:sz w:val="28"/>
                <w:szCs w:val="28"/>
                <w:lang w:bidi="ar"/>
              </w:rPr>
              <w:t>-</w:t>
            </w:r>
            <w:r>
              <w:rPr>
                <w:rFonts w:hint="eastAsia" w:ascii="仿宋_GB2312" w:hAnsi="宋体" w:eastAsia="仿宋_GB2312" w:cs="仿宋_GB2312"/>
                <w:color w:val="000000"/>
                <w:sz w:val="28"/>
                <w:szCs w:val="28"/>
                <w:lang w:val="en-US" w:eastAsia="zh-CN" w:bidi="ar"/>
              </w:rPr>
              <w:t>11.11</w:t>
            </w:r>
            <w:r>
              <w:rPr>
                <w:rFonts w:hint="eastAsia" w:ascii="仿宋_GB2312" w:hAnsi="仿宋_GB2312" w:eastAsia="仿宋_GB2312" w:cs="仿宋_GB2312"/>
                <w:color w:val="FF0000"/>
                <w:sz w:val="30"/>
                <w:szCs w:val="30"/>
                <w:lang w:bidi="ar"/>
              </w:rPr>
              <w:t>↓</w:t>
            </w:r>
          </w:p>
        </w:tc>
        <w:tc>
          <w:tcPr>
            <w:tcW w:w="1440" w:type="dxa"/>
            <w:shd w:val="clear" w:color="auto" w:fill="auto"/>
            <w:vAlign w:val="center"/>
          </w:tcPr>
          <w:p w14:paraId="0714B2F6">
            <w:pPr>
              <w:widowControl/>
              <w:ind w:firstLine="0" w:firstLineChars="0"/>
              <w:jc w:val="center"/>
              <w:textAlignment w:val="center"/>
              <w:rPr>
                <w:rFonts w:hint="eastAsia" w:ascii="仿宋_GB2312" w:hAnsi="仿宋_GB2312" w:eastAsia="仿宋_GB2312" w:cs="仿宋_GB2312"/>
                <w:color w:val="000000"/>
                <w:sz w:val="30"/>
                <w:szCs w:val="30"/>
              </w:rPr>
            </w:pPr>
            <w:r>
              <w:rPr>
                <w:rFonts w:hint="eastAsia" w:ascii="仿宋_GB2312" w:hAnsi="宋体" w:eastAsia="仿宋_GB2312" w:cs="仿宋_GB2312"/>
                <w:color w:val="000000"/>
                <w:sz w:val="28"/>
                <w:szCs w:val="28"/>
                <w:lang w:bidi="ar"/>
              </w:rPr>
              <w:t>-</w:t>
            </w:r>
            <w:r>
              <w:rPr>
                <w:rFonts w:hint="eastAsia" w:ascii="仿宋_GB2312" w:hAnsi="宋体" w:eastAsia="仿宋_GB2312" w:cs="仿宋_GB2312"/>
                <w:color w:val="000000"/>
                <w:sz w:val="28"/>
                <w:szCs w:val="28"/>
                <w:lang w:val="en-US" w:eastAsia="zh-CN" w:bidi="ar"/>
              </w:rPr>
              <w:t>2.04</w:t>
            </w:r>
            <w:r>
              <w:rPr>
                <w:rFonts w:hint="eastAsia" w:ascii="仿宋_GB2312" w:hAnsi="仿宋_GB2312" w:eastAsia="仿宋_GB2312" w:cs="仿宋_GB2312"/>
                <w:color w:val="FF0000"/>
                <w:sz w:val="30"/>
                <w:szCs w:val="30"/>
                <w:lang w:bidi="ar"/>
              </w:rPr>
              <w:t>↓</w:t>
            </w:r>
          </w:p>
        </w:tc>
      </w:tr>
      <w:tr w14:paraId="6EA38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450" w:type="dxa"/>
            <w:shd w:val="clear" w:color="auto" w:fill="auto"/>
            <w:vAlign w:val="center"/>
          </w:tcPr>
          <w:p w14:paraId="7C40E1C0">
            <w:pPr>
              <w:snapToGrid w:val="0"/>
              <w:ind w:firstLine="0" w:firstLineChars="0"/>
              <w:jc w:val="center"/>
              <w:textAlignment w:val="baseline"/>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兰炭</w:t>
            </w:r>
          </w:p>
        </w:tc>
        <w:tc>
          <w:tcPr>
            <w:tcW w:w="2115" w:type="dxa"/>
            <w:shd w:val="clear" w:color="auto" w:fill="auto"/>
            <w:vAlign w:val="center"/>
          </w:tcPr>
          <w:p w14:paraId="60217623">
            <w:pPr>
              <w:snapToGrid w:val="0"/>
              <w:ind w:firstLine="0" w:firstLineChars="0"/>
              <w:jc w:val="center"/>
              <w:textAlignment w:val="baseline"/>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8mm-25mm</w:t>
            </w:r>
          </w:p>
        </w:tc>
        <w:tc>
          <w:tcPr>
            <w:tcW w:w="1155" w:type="dxa"/>
            <w:shd w:val="clear" w:color="auto" w:fill="auto"/>
            <w:vAlign w:val="center"/>
          </w:tcPr>
          <w:p w14:paraId="7EBE126C">
            <w:pPr>
              <w:snapToGrid w:val="0"/>
              <w:ind w:firstLine="0" w:firstLineChars="0"/>
              <w:jc w:val="center"/>
              <w:textAlignment w:val="baseline"/>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元/吨</w:t>
            </w:r>
          </w:p>
        </w:tc>
        <w:tc>
          <w:tcPr>
            <w:tcW w:w="1110" w:type="dxa"/>
            <w:shd w:val="clear" w:color="auto" w:fill="auto"/>
            <w:vAlign w:val="center"/>
          </w:tcPr>
          <w:p w14:paraId="5CD5C726">
            <w:pPr>
              <w:widowControl/>
              <w:ind w:firstLine="0" w:firstLineChars="0"/>
              <w:jc w:val="center"/>
              <w:textAlignment w:val="center"/>
              <w:rPr>
                <w:rFonts w:hint="default"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宋体" w:eastAsia="仿宋_GB2312" w:cs="仿宋_GB2312"/>
                <w:color w:val="000000"/>
                <w:sz w:val="28"/>
                <w:szCs w:val="28"/>
                <w:lang w:val="en-US" w:eastAsia="zh-CN" w:bidi="ar"/>
              </w:rPr>
              <w:t>580</w:t>
            </w:r>
          </w:p>
        </w:tc>
        <w:tc>
          <w:tcPr>
            <w:tcW w:w="1785" w:type="dxa"/>
            <w:shd w:val="clear" w:color="auto" w:fill="auto"/>
            <w:vAlign w:val="center"/>
          </w:tcPr>
          <w:p w14:paraId="1045D7D9">
            <w:pPr>
              <w:widowControl/>
              <w:ind w:firstLine="0" w:firstLineChars="0"/>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sz w:val="30"/>
                <w:szCs w:val="30"/>
                <w:lang w:bidi="ar"/>
              </w:rPr>
              <w:t>-3</w:t>
            </w:r>
            <w:r>
              <w:rPr>
                <w:rFonts w:hint="eastAsia" w:ascii="仿宋_GB2312" w:hAnsi="仿宋_GB2312" w:eastAsia="仿宋_GB2312" w:cs="仿宋_GB2312"/>
                <w:sz w:val="30"/>
                <w:szCs w:val="30"/>
                <w:lang w:val="en-US" w:eastAsia="zh-CN" w:bidi="ar"/>
              </w:rPr>
              <w:t>3.71</w:t>
            </w:r>
            <w:r>
              <w:rPr>
                <w:rFonts w:hint="eastAsia" w:ascii="仿宋_GB2312" w:hAnsi="仿宋_GB2312" w:eastAsia="仿宋_GB2312" w:cs="仿宋_GB2312"/>
                <w:color w:val="FF0000"/>
                <w:sz w:val="30"/>
                <w:szCs w:val="30"/>
                <w:lang w:bidi="ar"/>
              </w:rPr>
              <w:t>↓</w:t>
            </w:r>
          </w:p>
        </w:tc>
        <w:tc>
          <w:tcPr>
            <w:tcW w:w="1440" w:type="dxa"/>
            <w:shd w:val="clear" w:color="auto" w:fill="auto"/>
            <w:vAlign w:val="center"/>
          </w:tcPr>
          <w:p w14:paraId="6276478B">
            <w:pPr>
              <w:widowControl/>
              <w:ind w:firstLine="0" w:firstLineChars="0"/>
              <w:jc w:val="center"/>
              <w:textAlignment w:val="center"/>
              <w:rPr>
                <w:rFonts w:hint="default" w:ascii="仿宋_GB2312" w:hAnsi="仿宋_GB2312" w:eastAsia="仿宋_GB2312" w:cs="仿宋_GB2312"/>
                <w:color w:val="000000"/>
                <w:sz w:val="30"/>
                <w:szCs w:val="30"/>
                <w:lang w:val="en-US" w:eastAsia="zh-CN"/>
              </w:rPr>
            </w:pPr>
            <w:r>
              <w:rPr>
                <w:rFonts w:hint="eastAsia" w:ascii="仿宋_GB2312" w:hAnsi="宋体" w:eastAsia="仿宋_GB2312" w:cs="仿宋_GB2312"/>
                <w:color w:val="000000"/>
                <w:sz w:val="28"/>
                <w:szCs w:val="28"/>
                <w:lang w:val="en-US" w:eastAsia="zh-CN" w:bidi="ar"/>
              </w:rPr>
              <w:t>-5.69</w:t>
            </w:r>
            <w:r>
              <w:rPr>
                <w:rFonts w:hint="eastAsia" w:ascii="仿宋_GB2312" w:hAnsi="仿宋_GB2312" w:eastAsia="仿宋_GB2312" w:cs="仿宋_GB2312"/>
                <w:color w:val="FF0000"/>
                <w:sz w:val="30"/>
                <w:szCs w:val="30"/>
                <w:lang w:bidi="ar"/>
              </w:rPr>
              <w:t>↓</w:t>
            </w:r>
          </w:p>
        </w:tc>
      </w:tr>
      <w:tr w14:paraId="2C348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450" w:type="dxa"/>
            <w:shd w:val="clear" w:color="auto" w:fill="auto"/>
            <w:vAlign w:val="center"/>
          </w:tcPr>
          <w:p w14:paraId="11FF5812">
            <w:pPr>
              <w:snapToGrid w:val="0"/>
              <w:ind w:firstLine="0" w:firstLineChars="0"/>
              <w:jc w:val="center"/>
              <w:textAlignment w:val="baseline"/>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液化</w:t>
            </w:r>
          </w:p>
          <w:p w14:paraId="0BE26450">
            <w:pPr>
              <w:snapToGrid w:val="0"/>
              <w:ind w:firstLine="0" w:firstLineChars="0"/>
              <w:jc w:val="center"/>
              <w:textAlignment w:val="baseline"/>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天然气</w:t>
            </w:r>
          </w:p>
        </w:tc>
        <w:tc>
          <w:tcPr>
            <w:tcW w:w="2115" w:type="dxa"/>
            <w:shd w:val="clear" w:color="auto" w:fill="auto"/>
            <w:vAlign w:val="center"/>
          </w:tcPr>
          <w:p w14:paraId="072F0644">
            <w:pPr>
              <w:snapToGrid w:val="0"/>
              <w:ind w:firstLine="0" w:firstLineChars="0"/>
              <w:jc w:val="center"/>
              <w:textAlignment w:val="baseline"/>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合格品</w:t>
            </w:r>
          </w:p>
        </w:tc>
        <w:tc>
          <w:tcPr>
            <w:tcW w:w="1155" w:type="dxa"/>
            <w:shd w:val="clear" w:color="auto" w:fill="auto"/>
            <w:vAlign w:val="center"/>
          </w:tcPr>
          <w:p w14:paraId="321010D5">
            <w:pPr>
              <w:snapToGrid w:val="0"/>
              <w:ind w:firstLine="0" w:firstLineChars="0"/>
              <w:jc w:val="center"/>
              <w:textAlignment w:val="baseline"/>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元/吨</w:t>
            </w:r>
          </w:p>
        </w:tc>
        <w:tc>
          <w:tcPr>
            <w:tcW w:w="1110" w:type="dxa"/>
            <w:shd w:val="clear" w:color="auto" w:fill="auto"/>
            <w:vAlign w:val="center"/>
          </w:tcPr>
          <w:p w14:paraId="2D6282B6">
            <w:pPr>
              <w:widowControl/>
              <w:ind w:firstLine="0" w:firstLineChars="0"/>
              <w:jc w:val="center"/>
              <w:textAlignment w:val="center"/>
              <w:rPr>
                <w:rFonts w:hint="default" w:ascii="仿宋_GB2312" w:hAnsi="仿宋_GB2312" w:eastAsia="仿宋_GB2312" w:cs="仿宋_GB2312"/>
                <w:color w:val="000000" w:themeColor="text1"/>
                <w:sz w:val="30"/>
                <w:szCs w:val="30"/>
                <w:lang w:val="en-US" w:eastAsia="zh-CN" w:bidi="ar"/>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bidi="ar"/>
                <w14:textFill>
                  <w14:solidFill>
                    <w14:schemeClr w14:val="tx1"/>
                  </w14:solidFill>
                </w14:textFill>
              </w:rPr>
              <w:t>3995</w:t>
            </w:r>
          </w:p>
        </w:tc>
        <w:tc>
          <w:tcPr>
            <w:tcW w:w="1785" w:type="dxa"/>
            <w:shd w:val="clear" w:color="auto" w:fill="auto"/>
            <w:vAlign w:val="center"/>
          </w:tcPr>
          <w:p w14:paraId="373D56F6">
            <w:pPr>
              <w:widowControl/>
              <w:ind w:firstLine="0" w:firstLineChars="0"/>
              <w:jc w:val="center"/>
              <w:textAlignment w:val="center"/>
              <w:rPr>
                <w:rFonts w:hint="eastAsia" w:ascii="仿宋_GB2312" w:hAnsi="仿宋_GB2312" w:eastAsia="仿宋_GB2312" w:cs="仿宋_GB2312"/>
                <w:color w:val="000000"/>
                <w:sz w:val="30"/>
                <w:szCs w:val="30"/>
                <w:lang w:bidi="ar"/>
              </w:rPr>
            </w:pPr>
            <w:r>
              <w:rPr>
                <w:rFonts w:hint="eastAsia" w:ascii="仿宋_GB2312" w:hAnsi="仿宋_GB2312" w:eastAsia="仿宋_GB2312" w:cs="仿宋_GB2312"/>
                <w:color w:val="000000"/>
                <w:sz w:val="30"/>
                <w:szCs w:val="30"/>
                <w:lang w:bidi="ar"/>
              </w:rPr>
              <w:t>-</w:t>
            </w:r>
            <w:r>
              <w:rPr>
                <w:rFonts w:hint="eastAsia" w:ascii="仿宋_GB2312" w:hAnsi="仿宋_GB2312" w:eastAsia="仿宋_GB2312" w:cs="仿宋_GB2312"/>
                <w:color w:val="000000"/>
                <w:sz w:val="30"/>
                <w:szCs w:val="30"/>
                <w:lang w:val="en-US" w:eastAsia="zh-CN" w:bidi="ar"/>
              </w:rPr>
              <w:t>5.73</w:t>
            </w:r>
            <w:r>
              <w:rPr>
                <w:rFonts w:hint="eastAsia" w:ascii="仿宋_GB2312" w:hAnsi="仿宋_GB2312" w:eastAsia="仿宋_GB2312" w:cs="仿宋_GB2312"/>
                <w:color w:val="FF0000"/>
                <w:sz w:val="30"/>
                <w:szCs w:val="30"/>
                <w:lang w:bidi="ar"/>
              </w:rPr>
              <w:t>↓</w:t>
            </w:r>
          </w:p>
        </w:tc>
        <w:tc>
          <w:tcPr>
            <w:tcW w:w="1440" w:type="dxa"/>
            <w:shd w:val="clear" w:color="auto" w:fill="auto"/>
            <w:vAlign w:val="center"/>
          </w:tcPr>
          <w:p w14:paraId="473DE2D9">
            <w:pPr>
              <w:widowControl/>
              <w:ind w:firstLine="0" w:firstLineChars="0"/>
              <w:jc w:val="center"/>
              <w:textAlignment w:val="center"/>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0.00</w:t>
            </w:r>
          </w:p>
        </w:tc>
      </w:tr>
    </w:tbl>
    <w:p w14:paraId="75A9DD46">
      <w:pPr>
        <w:pStyle w:val="2"/>
        <w:ind w:firstLine="0" w:firstLineChars="0"/>
        <w:rPr>
          <w:rFonts w:eastAsia="仿宋_GB2312"/>
        </w:rPr>
      </w:pPr>
    </w:p>
    <w:sectPr>
      <w:headerReference r:id="rId7" w:type="first"/>
      <w:footerReference r:id="rId10" w:type="first"/>
      <w:headerReference r:id="rId5" w:type="default"/>
      <w:footerReference r:id="rId8" w:type="default"/>
      <w:headerReference r:id="rId6" w:type="even"/>
      <w:footerReference r:id="rId9" w:type="even"/>
      <w:footnotePr>
        <w:numFmt w:val="decimalHalfWidth"/>
      </w:footnotePr>
      <w:endnotePr>
        <w:numFmt w:val="chineseCounting"/>
      </w:endnotePr>
      <w:pgSz w:w="11905" w:h="16837"/>
      <w:pgMar w:top="1701" w:right="1404" w:bottom="1418" w:left="1701" w:header="567" w:footer="567" w:gutter="0"/>
      <w:pgNumType w:fmt="numberInDash"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B77E2">
    <w:pPr>
      <w:pStyle w:val="5"/>
      <w:framePr w:wrap="around" w:vAnchor="text" w:hAnchor="margin" w:xAlign="center" w:y="1"/>
      <w:ind w:firstLine="360"/>
      <w:rPr>
        <w:rStyle w:val="11"/>
      </w:rPr>
    </w:pPr>
    <w:r>
      <w:fldChar w:fldCharType="begin"/>
    </w:r>
    <w:r>
      <w:rPr>
        <w:rStyle w:val="11"/>
      </w:rPr>
      <w:instrText xml:space="preserve">PAGE  </w:instrText>
    </w:r>
    <w:r>
      <w:fldChar w:fldCharType="separate"/>
    </w:r>
    <w:r>
      <w:rPr>
        <w:rStyle w:val="11"/>
      </w:rPr>
      <w:t>- 5 -</w:t>
    </w:r>
    <w:r>
      <w:fldChar w:fldCharType="end"/>
    </w:r>
  </w:p>
  <w:p w14:paraId="56330AFE">
    <w:pPr>
      <w:spacing w:line="1" w:lineRule="atLeast"/>
      <w:ind w:firstLine="400"/>
    </w:pPr>
    <w:r>
      <mc:AlternateContent>
        <mc:Choice Requires="wps">
          <w:drawing>
            <wp:inline distT="0" distB="0" distL="114300" distR="114300">
              <wp:extent cx="5471795" cy="719455"/>
              <wp:effectExtent l="0" t="0" r="0" b="0"/>
              <wp:docPr id="11" name="文本框 11"/>
              <wp:cNvGraphicFramePr/>
              <a:graphic xmlns:a="http://schemas.openxmlformats.org/drawingml/2006/main">
                <a:graphicData uri="http://schemas.microsoft.com/office/word/2010/wordprocessingShape">
                  <wps:wsp>
                    <wps:cNvSpPr txBox="1">
                      <a:spLocks noRot="1"/>
                    </wps:cNvSpPr>
                    <wps:spPr>
                      <a:xfrm>
                        <a:off x="0" y="0"/>
                        <a:ext cx="5471795" cy="719455"/>
                      </a:xfrm>
                      <a:prstGeom prst="rect">
                        <a:avLst/>
                      </a:prstGeom>
                      <a:noFill/>
                      <a:ln>
                        <a:noFill/>
                      </a:ln>
                    </wps:spPr>
                    <wps:txbx>
                      <w:txbxContent>
                        <w:p w14:paraId="4AEC1337">
                          <w:pPr>
                            <w:spacing w:line="334" w:lineRule="atLeast"/>
                            <w:ind w:firstLine="0" w:firstLineChars="0"/>
                            <w:jc w:val="center"/>
                            <w:rPr>
                              <w:sz w:val="21"/>
                            </w:rPr>
                          </w:pPr>
                        </w:p>
                      </w:txbxContent>
                    </wps:txbx>
                    <wps:bodyPr lIns="0" tIns="0" rIns="0" bIns="0" upright="1"/>
                  </wps:wsp>
                </a:graphicData>
              </a:graphic>
            </wp:inline>
          </w:drawing>
        </mc:Choice>
        <mc:Fallback>
          <w:pict>
            <v:shape id="_x0000_s1026" o:spid="_x0000_s1026" o:spt="202" type="#_x0000_t202" style="height:56.65pt;width:430.85pt;" filled="f" stroked="f" coordsize="21600,21600" o:gfxdata="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7rKUQNUAAAAFAQAADwAAAAAAAAABACAAAAAiAAAAZHJzL2Rv&#10;d25yZXYueG1sUEsBAhQAFAAAAAgAh07iQJW7hYzLAQAAlwMAAA4AAAAAAAAAAQAgAAAAJAEAAGRy&#10;cy9lMm9Eb2MueG1sUEsFBgAAAAAGAAYAWQEAAGEFAAAAAA==&#10;">
              <v:fill on="f" focussize="0,0"/>
              <v:stroke on="f"/>
              <v:imagedata o:title=""/>
              <o:lock v:ext="edit" rotation="t" aspectratio="f"/>
              <v:textbox inset="0mm,0mm,0mm,0mm">
                <w:txbxContent>
                  <w:p w14:paraId="4AEC1337">
                    <w:pPr>
                      <w:spacing w:line="334" w:lineRule="atLeast"/>
                      <w:ind w:firstLine="0" w:firstLineChars="0"/>
                      <w:jc w:val="center"/>
                      <w:rPr>
                        <w:sz w:val="21"/>
                      </w:rPr>
                    </w:pPr>
                  </w:p>
                </w:txbxContent>
              </v:textbox>
              <w10:wrap type="non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CC7CF">
    <w:pPr>
      <w:pStyle w:val="5"/>
      <w:framePr w:wrap="around" w:vAnchor="text" w:hAnchor="margin" w:xAlign="center" w:y="1"/>
      <w:ind w:firstLine="360"/>
      <w:rPr>
        <w:rStyle w:val="11"/>
      </w:rPr>
    </w:pPr>
    <w:r>
      <w:fldChar w:fldCharType="begin"/>
    </w:r>
    <w:r>
      <w:rPr>
        <w:rStyle w:val="11"/>
      </w:rPr>
      <w:instrText xml:space="preserve">PAGE  </w:instrText>
    </w:r>
    <w:r>
      <w:fldChar w:fldCharType="separate"/>
    </w:r>
    <w:r>
      <w:rPr>
        <w:rStyle w:val="11"/>
      </w:rPr>
      <w:t>- 6 -</w:t>
    </w:r>
    <w:r>
      <w:fldChar w:fldCharType="end"/>
    </w:r>
  </w:p>
  <w:p w14:paraId="2759F3CB">
    <w:pPr>
      <w:spacing w:line="1" w:lineRule="atLeast"/>
      <w:ind w:firstLine="400"/>
    </w:pPr>
    <w:r>
      <mc:AlternateContent>
        <mc:Choice Requires="wps">
          <w:drawing>
            <wp:inline distT="0" distB="0" distL="114300" distR="114300">
              <wp:extent cx="5471795" cy="719455"/>
              <wp:effectExtent l="0" t="0" r="0" b="0"/>
              <wp:docPr id="13" name="文本框 13"/>
              <wp:cNvGraphicFramePr/>
              <a:graphic xmlns:a="http://schemas.openxmlformats.org/drawingml/2006/main">
                <a:graphicData uri="http://schemas.microsoft.com/office/word/2010/wordprocessingShape">
                  <wps:wsp>
                    <wps:cNvSpPr txBox="1">
                      <a:spLocks noRot="1"/>
                    </wps:cNvSpPr>
                    <wps:spPr>
                      <a:xfrm>
                        <a:off x="0" y="0"/>
                        <a:ext cx="5471795" cy="719455"/>
                      </a:xfrm>
                      <a:prstGeom prst="rect">
                        <a:avLst/>
                      </a:prstGeom>
                      <a:noFill/>
                      <a:ln>
                        <a:noFill/>
                      </a:ln>
                    </wps:spPr>
                    <wps:txbx>
                      <w:txbxContent>
                        <w:p w14:paraId="51706D63">
                          <w:pPr>
                            <w:spacing w:line="334" w:lineRule="atLeast"/>
                            <w:ind w:firstLine="420"/>
                            <w:rPr>
                              <w:sz w:val="21"/>
                            </w:rPr>
                          </w:pPr>
                        </w:p>
                      </w:txbxContent>
                    </wps:txbx>
                    <wps:bodyPr lIns="0" tIns="0" rIns="0" bIns="0" upright="1"/>
                  </wps:wsp>
                </a:graphicData>
              </a:graphic>
            </wp:inline>
          </w:drawing>
        </mc:Choice>
        <mc:Fallback>
          <w:pict>
            <v:shape id="_x0000_s1026" o:spid="_x0000_s1026" o:spt="202" type="#_x0000_t202" style="height:56.65pt;width:430.85pt;" filled="f" stroked="f" coordsize="21600,21600" o:gfxdata="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uspRA1QAAAAUBAAAPAAAAAAAAAAEAIAAAACIAAABkcnMv&#10;ZG93bnJldi54bWxQSwECFAAUAAAACACHTuJAemkF5M0BAACXAwAADgAAAAAAAAABACAAAAAkAQAA&#10;ZHJzL2Uyb0RvYy54bWxQSwUGAAAAAAYABgBZAQAAYwUAAAAA&#10;">
              <v:fill on="f" focussize="0,0"/>
              <v:stroke on="f"/>
              <v:imagedata o:title=""/>
              <o:lock v:ext="edit" rotation="t" aspectratio="f"/>
              <v:textbox inset="0mm,0mm,0mm,0mm">
                <w:txbxContent>
                  <w:p w14:paraId="51706D63">
                    <w:pPr>
                      <w:spacing w:line="334" w:lineRule="atLeast"/>
                      <w:ind w:firstLine="420"/>
                      <w:rPr>
                        <w:sz w:val="21"/>
                      </w:rPr>
                    </w:pPr>
                  </w:p>
                </w:txbxContent>
              </v:textbox>
              <w10:wrap type="non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F69A4">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8C32B">
    <w:pPr>
      <w:spacing w:line="1" w:lineRule="atLeast"/>
      <w:ind w:firstLine="0" w:firstLineChars="0"/>
    </w:pPr>
    <w:r>
      <mc:AlternateContent>
        <mc:Choice Requires="wps">
          <w:drawing>
            <wp:inline distT="0" distB="0" distL="114300" distR="114300">
              <wp:extent cx="5471795" cy="899795"/>
              <wp:effectExtent l="0" t="0" r="0" b="0"/>
              <wp:docPr id="10" name="文本框 10"/>
              <wp:cNvGraphicFramePr/>
              <a:graphic xmlns:a="http://schemas.openxmlformats.org/drawingml/2006/main">
                <a:graphicData uri="http://schemas.microsoft.com/office/word/2010/wordprocessingShape">
                  <wps:wsp>
                    <wps:cNvSpPr txBox="1">
                      <a:spLocks noRot="1"/>
                    </wps:cNvSpPr>
                    <wps:spPr>
                      <a:xfrm>
                        <a:off x="0" y="0"/>
                        <a:ext cx="5471795" cy="899795"/>
                      </a:xfrm>
                      <a:prstGeom prst="rect">
                        <a:avLst/>
                      </a:prstGeom>
                      <a:noFill/>
                      <a:ln>
                        <a:noFill/>
                      </a:ln>
                    </wps:spPr>
                    <wps:txbx>
                      <w:txbxContent>
                        <w:p w14:paraId="2A21B1C6">
                          <w:pPr>
                            <w:spacing w:line="334" w:lineRule="atLeast"/>
                            <w:ind w:firstLine="420"/>
                            <w:rPr>
                              <w:sz w:val="21"/>
                            </w:rPr>
                          </w:pPr>
                        </w:p>
                      </w:txbxContent>
                    </wps:txbx>
                    <wps:bodyPr lIns="0" tIns="0" rIns="0" bIns="0" upright="1"/>
                  </wps:wsp>
                </a:graphicData>
              </a:graphic>
            </wp:inline>
          </w:drawing>
        </mc:Choice>
        <mc:Fallback>
          <w:pict>
            <v:shape id="_x0000_s1026" o:spid="_x0000_s1026" o:spt="202" type="#_x0000_t202" style="height:70.85pt;width:430.85pt;" filled="f" stroked="f" coordsize="21600,21600" o:gfxdata="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lThHu1AAAAAUBAAAPAAAAAAAAAAEAIAAAACIAAABkcnMvZG93&#10;bnJldi54bWxQSwECFAAUAAAACACHTuJAPliVD8sBAACXAwAADgAAAAAAAAABACAAAAAjAQAAZHJz&#10;L2Uyb0RvYy54bWxQSwUGAAAAAAYABgBZAQAAYAUAAAAA&#10;">
              <v:fill on="f" focussize="0,0"/>
              <v:stroke on="f"/>
              <v:imagedata o:title=""/>
              <o:lock v:ext="edit" rotation="t" aspectratio="f"/>
              <v:textbox inset="0mm,0mm,0mm,0mm">
                <w:txbxContent>
                  <w:p w14:paraId="2A21B1C6">
                    <w:pPr>
                      <w:spacing w:line="334" w:lineRule="atLeast"/>
                      <w:ind w:firstLine="420"/>
                      <w:rPr>
                        <w:sz w:val="21"/>
                      </w:rPr>
                    </w:pPr>
                  </w:p>
                </w:txbxContent>
              </v:textbox>
              <w10:wrap type="non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40C63">
    <w:pPr>
      <w:spacing w:line="1" w:lineRule="atLeast"/>
      <w:ind w:firstLine="400"/>
    </w:pPr>
    <w:r>
      <mc:AlternateContent>
        <mc:Choice Requires="wps">
          <w:drawing>
            <wp:inline distT="0" distB="0" distL="114300" distR="114300">
              <wp:extent cx="5471795" cy="899795"/>
              <wp:effectExtent l="0" t="0" r="0" b="0"/>
              <wp:docPr id="12" name="文本框 12"/>
              <wp:cNvGraphicFramePr/>
              <a:graphic xmlns:a="http://schemas.openxmlformats.org/drawingml/2006/main">
                <a:graphicData uri="http://schemas.microsoft.com/office/word/2010/wordprocessingShape">
                  <wps:wsp>
                    <wps:cNvSpPr txBox="1">
                      <a:spLocks noRot="1"/>
                    </wps:cNvSpPr>
                    <wps:spPr>
                      <a:xfrm>
                        <a:off x="0" y="0"/>
                        <a:ext cx="5471795" cy="899795"/>
                      </a:xfrm>
                      <a:prstGeom prst="rect">
                        <a:avLst/>
                      </a:prstGeom>
                      <a:noFill/>
                      <a:ln>
                        <a:noFill/>
                      </a:ln>
                    </wps:spPr>
                    <wps:txbx>
                      <w:txbxContent>
                        <w:p w14:paraId="5D2BB543">
                          <w:pPr>
                            <w:spacing w:line="334" w:lineRule="atLeast"/>
                            <w:ind w:firstLine="420"/>
                            <w:rPr>
                              <w:sz w:val="21"/>
                            </w:rPr>
                          </w:pPr>
                        </w:p>
                      </w:txbxContent>
                    </wps:txbx>
                    <wps:bodyPr lIns="0" tIns="0" rIns="0" bIns="0" upright="1"/>
                  </wps:wsp>
                </a:graphicData>
              </a:graphic>
            </wp:inline>
          </w:drawing>
        </mc:Choice>
        <mc:Fallback>
          <w:pict>
            <v:shape id="_x0000_s1026" o:spid="_x0000_s1026" o:spt="202" type="#_x0000_t202" style="height:70.85pt;width:430.85pt;" filled="f" stroked="f" coordsize="21600,21600" o:gfxdata="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lThHu1AAAAAUBAAAPAAAAAAAAAAEAIAAAACIAAABkcnMvZG93&#10;bnJldi54bWxQSwECFAAUAAAACACHTuJA0YoVZ8sBAACXAwAADgAAAAAAAAABACAAAAAjAQAAZHJz&#10;L2Uyb0RvYy54bWxQSwUGAAAAAAYABgBZAQAAYAUAAAAA&#10;">
              <v:fill on="f" focussize="0,0"/>
              <v:stroke on="f"/>
              <v:imagedata o:title=""/>
              <o:lock v:ext="edit" rotation="t" aspectratio="f"/>
              <v:textbox inset="0mm,0mm,0mm,0mm">
                <w:txbxContent>
                  <w:p w14:paraId="5D2BB543">
                    <w:pPr>
                      <w:spacing w:line="334" w:lineRule="atLeast"/>
                      <w:ind w:firstLine="420"/>
                      <w:rPr>
                        <w:sz w:val="21"/>
                      </w:rPr>
                    </w:pPr>
                  </w:p>
                </w:txbxContent>
              </v:textbox>
              <w10:wrap type="non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AFFFF">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footnotePr>
    <w:numFmt w:val="decimalHalfWidth"/>
    <w:footnote w:id="0"/>
    <w:footnote w:id="1"/>
  </w:footnotePr>
  <w:endnotePr>
    <w:numFmt w:val="chineseCounting"/>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wODEyOTJmMjczYmI3NTU5MjIzYTQxMGVlNzdiYWEifQ=="/>
  </w:docVars>
  <w:rsids>
    <w:rsidRoot w:val="7C782783"/>
    <w:rsid w:val="000B54C3"/>
    <w:rsid w:val="00200875"/>
    <w:rsid w:val="00207852"/>
    <w:rsid w:val="00220520"/>
    <w:rsid w:val="002248E3"/>
    <w:rsid w:val="00247343"/>
    <w:rsid w:val="003765F5"/>
    <w:rsid w:val="00436A16"/>
    <w:rsid w:val="00497630"/>
    <w:rsid w:val="004C7EA7"/>
    <w:rsid w:val="00511837"/>
    <w:rsid w:val="005B4267"/>
    <w:rsid w:val="00604C5F"/>
    <w:rsid w:val="0065448E"/>
    <w:rsid w:val="00756A7D"/>
    <w:rsid w:val="00760F76"/>
    <w:rsid w:val="00803BAE"/>
    <w:rsid w:val="00861DAB"/>
    <w:rsid w:val="008E062F"/>
    <w:rsid w:val="009C15CF"/>
    <w:rsid w:val="009E5347"/>
    <w:rsid w:val="00A81D22"/>
    <w:rsid w:val="00A87252"/>
    <w:rsid w:val="00B53172"/>
    <w:rsid w:val="00B7649B"/>
    <w:rsid w:val="00BC48C7"/>
    <w:rsid w:val="00BF706B"/>
    <w:rsid w:val="00C43F49"/>
    <w:rsid w:val="00C736F0"/>
    <w:rsid w:val="00C84A90"/>
    <w:rsid w:val="00C86416"/>
    <w:rsid w:val="00D41F67"/>
    <w:rsid w:val="00EF5BA2"/>
    <w:rsid w:val="00F13EBF"/>
    <w:rsid w:val="01042CD0"/>
    <w:rsid w:val="01045D83"/>
    <w:rsid w:val="011A602E"/>
    <w:rsid w:val="011C1AB3"/>
    <w:rsid w:val="01203FAE"/>
    <w:rsid w:val="012A4E2C"/>
    <w:rsid w:val="013A56CD"/>
    <w:rsid w:val="01635C49"/>
    <w:rsid w:val="016A347B"/>
    <w:rsid w:val="01853E11"/>
    <w:rsid w:val="01894DC2"/>
    <w:rsid w:val="01A06E9D"/>
    <w:rsid w:val="01AC75F0"/>
    <w:rsid w:val="01AE7CF6"/>
    <w:rsid w:val="01AF5332"/>
    <w:rsid w:val="01E36665"/>
    <w:rsid w:val="01F50AC1"/>
    <w:rsid w:val="023B4FA2"/>
    <w:rsid w:val="024F12CE"/>
    <w:rsid w:val="027B6D3C"/>
    <w:rsid w:val="0280002E"/>
    <w:rsid w:val="02820350"/>
    <w:rsid w:val="02AC29FE"/>
    <w:rsid w:val="02AE7397"/>
    <w:rsid w:val="02B7624C"/>
    <w:rsid w:val="02C1356F"/>
    <w:rsid w:val="02CE3596"/>
    <w:rsid w:val="02F12970"/>
    <w:rsid w:val="02F73FA3"/>
    <w:rsid w:val="02FD2BE8"/>
    <w:rsid w:val="02FE3E7B"/>
    <w:rsid w:val="03247659"/>
    <w:rsid w:val="03327FC8"/>
    <w:rsid w:val="033C2BF5"/>
    <w:rsid w:val="03411A70"/>
    <w:rsid w:val="035D3306"/>
    <w:rsid w:val="036A7762"/>
    <w:rsid w:val="0371289F"/>
    <w:rsid w:val="03743F4F"/>
    <w:rsid w:val="037D5AED"/>
    <w:rsid w:val="0381685A"/>
    <w:rsid w:val="03912F41"/>
    <w:rsid w:val="03956A17"/>
    <w:rsid w:val="03A013D6"/>
    <w:rsid w:val="03C61C7C"/>
    <w:rsid w:val="03DC51D3"/>
    <w:rsid w:val="03EE34A8"/>
    <w:rsid w:val="03EF7C67"/>
    <w:rsid w:val="03F51722"/>
    <w:rsid w:val="042712FE"/>
    <w:rsid w:val="043B5403"/>
    <w:rsid w:val="045A77D7"/>
    <w:rsid w:val="046B19E4"/>
    <w:rsid w:val="0494392C"/>
    <w:rsid w:val="04A15406"/>
    <w:rsid w:val="04A42800"/>
    <w:rsid w:val="04AD3DAA"/>
    <w:rsid w:val="04B14F1D"/>
    <w:rsid w:val="04CE5ACF"/>
    <w:rsid w:val="05177476"/>
    <w:rsid w:val="051F1772"/>
    <w:rsid w:val="052B0F2B"/>
    <w:rsid w:val="053A3164"/>
    <w:rsid w:val="05412F05"/>
    <w:rsid w:val="0548762F"/>
    <w:rsid w:val="055919CC"/>
    <w:rsid w:val="05656433"/>
    <w:rsid w:val="056F72B2"/>
    <w:rsid w:val="057057A6"/>
    <w:rsid w:val="057442CB"/>
    <w:rsid w:val="058273D3"/>
    <w:rsid w:val="059A3C03"/>
    <w:rsid w:val="05BB24F7"/>
    <w:rsid w:val="05BF562B"/>
    <w:rsid w:val="05C173E2"/>
    <w:rsid w:val="05E57574"/>
    <w:rsid w:val="05F17CC7"/>
    <w:rsid w:val="05F73F49"/>
    <w:rsid w:val="05F9124A"/>
    <w:rsid w:val="061A5470"/>
    <w:rsid w:val="063522A9"/>
    <w:rsid w:val="069A035E"/>
    <w:rsid w:val="069D1BFD"/>
    <w:rsid w:val="06A92350"/>
    <w:rsid w:val="06B34F7C"/>
    <w:rsid w:val="06C113D6"/>
    <w:rsid w:val="06C13B3D"/>
    <w:rsid w:val="06CB4DDC"/>
    <w:rsid w:val="06E14563"/>
    <w:rsid w:val="06E67100"/>
    <w:rsid w:val="07061868"/>
    <w:rsid w:val="07106873"/>
    <w:rsid w:val="0721282E"/>
    <w:rsid w:val="07495981"/>
    <w:rsid w:val="079363EB"/>
    <w:rsid w:val="07BA022B"/>
    <w:rsid w:val="07D4369A"/>
    <w:rsid w:val="07D55FCD"/>
    <w:rsid w:val="0808754A"/>
    <w:rsid w:val="082075C9"/>
    <w:rsid w:val="083A00D1"/>
    <w:rsid w:val="08607386"/>
    <w:rsid w:val="08687FE8"/>
    <w:rsid w:val="086A76A1"/>
    <w:rsid w:val="087349B2"/>
    <w:rsid w:val="08C63FA4"/>
    <w:rsid w:val="08D97642"/>
    <w:rsid w:val="08E31628"/>
    <w:rsid w:val="08F663A2"/>
    <w:rsid w:val="08FF17A7"/>
    <w:rsid w:val="09012917"/>
    <w:rsid w:val="090233E8"/>
    <w:rsid w:val="0911242E"/>
    <w:rsid w:val="091B1496"/>
    <w:rsid w:val="091C0B86"/>
    <w:rsid w:val="091D0DD3"/>
    <w:rsid w:val="092263E9"/>
    <w:rsid w:val="093F55E3"/>
    <w:rsid w:val="094032D2"/>
    <w:rsid w:val="095A2027"/>
    <w:rsid w:val="095A3DD5"/>
    <w:rsid w:val="096E162E"/>
    <w:rsid w:val="09756E61"/>
    <w:rsid w:val="097A4477"/>
    <w:rsid w:val="097D1C38"/>
    <w:rsid w:val="09A03EDE"/>
    <w:rsid w:val="09AA4D5C"/>
    <w:rsid w:val="09B1346C"/>
    <w:rsid w:val="09BF7C15"/>
    <w:rsid w:val="09CA2D09"/>
    <w:rsid w:val="09E4211F"/>
    <w:rsid w:val="09F537CA"/>
    <w:rsid w:val="09F61D50"/>
    <w:rsid w:val="09F74AE2"/>
    <w:rsid w:val="0A03621B"/>
    <w:rsid w:val="0A2C6F24"/>
    <w:rsid w:val="0A36214C"/>
    <w:rsid w:val="0A4B390E"/>
    <w:rsid w:val="0A546A76"/>
    <w:rsid w:val="0A5F26A9"/>
    <w:rsid w:val="0A603CE1"/>
    <w:rsid w:val="0A847067"/>
    <w:rsid w:val="0AA51F88"/>
    <w:rsid w:val="0AAA2B3A"/>
    <w:rsid w:val="0AB1382A"/>
    <w:rsid w:val="0AB61B58"/>
    <w:rsid w:val="0AC012A3"/>
    <w:rsid w:val="0AE4604C"/>
    <w:rsid w:val="0B111B39"/>
    <w:rsid w:val="0B287E1B"/>
    <w:rsid w:val="0B375A2A"/>
    <w:rsid w:val="0B473D1C"/>
    <w:rsid w:val="0B4C7830"/>
    <w:rsid w:val="0B7224F2"/>
    <w:rsid w:val="0BA8707A"/>
    <w:rsid w:val="0BA94C72"/>
    <w:rsid w:val="0BB377CC"/>
    <w:rsid w:val="0BC55E7E"/>
    <w:rsid w:val="0BF202F5"/>
    <w:rsid w:val="0BF84EBE"/>
    <w:rsid w:val="0C022271"/>
    <w:rsid w:val="0C1F4E62"/>
    <w:rsid w:val="0C232BA4"/>
    <w:rsid w:val="0C234952"/>
    <w:rsid w:val="0C2B359A"/>
    <w:rsid w:val="0C2B3807"/>
    <w:rsid w:val="0C6844A6"/>
    <w:rsid w:val="0C70231A"/>
    <w:rsid w:val="0C824799"/>
    <w:rsid w:val="0C925101"/>
    <w:rsid w:val="0C9755D1"/>
    <w:rsid w:val="0C9D2E8B"/>
    <w:rsid w:val="0CA8641D"/>
    <w:rsid w:val="0CB366C2"/>
    <w:rsid w:val="0CBE0C05"/>
    <w:rsid w:val="0CCD397D"/>
    <w:rsid w:val="0CD302F3"/>
    <w:rsid w:val="0CF4009D"/>
    <w:rsid w:val="0D1231B1"/>
    <w:rsid w:val="0D1D5845"/>
    <w:rsid w:val="0D305579"/>
    <w:rsid w:val="0D306AF8"/>
    <w:rsid w:val="0D3B3F1D"/>
    <w:rsid w:val="0D4F5600"/>
    <w:rsid w:val="0D531359"/>
    <w:rsid w:val="0D651EFD"/>
    <w:rsid w:val="0D69571B"/>
    <w:rsid w:val="0D8E229F"/>
    <w:rsid w:val="0D8E27C1"/>
    <w:rsid w:val="0D912ADF"/>
    <w:rsid w:val="0D991A8B"/>
    <w:rsid w:val="0DA148AD"/>
    <w:rsid w:val="0DB02216"/>
    <w:rsid w:val="0DBA3094"/>
    <w:rsid w:val="0DCC7485"/>
    <w:rsid w:val="0DD530ED"/>
    <w:rsid w:val="0DEC55D6"/>
    <w:rsid w:val="0DFA5B87"/>
    <w:rsid w:val="0DFE76DA"/>
    <w:rsid w:val="0E097B78"/>
    <w:rsid w:val="0E3D4D49"/>
    <w:rsid w:val="0E4A0A8E"/>
    <w:rsid w:val="0E517A67"/>
    <w:rsid w:val="0E5B6625"/>
    <w:rsid w:val="0E5E2632"/>
    <w:rsid w:val="0E725A04"/>
    <w:rsid w:val="0E821C25"/>
    <w:rsid w:val="0ECC307F"/>
    <w:rsid w:val="0EE002BA"/>
    <w:rsid w:val="0EFD31AF"/>
    <w:rsid w:val="0F403A6D"/>
    <w:rsid w:val="0F451DFB"/>
    <w:rsid w:val="0F482E3B"/>
    <w:rsid w:val="0F4946D0"/>
    <w:rsid w:val="0F542B21"/>
    <w:rsid w:val="0F713C26"/>
    <w:rsid w:val="0F855EAB"/>
    <w:rsid w:val="0F9F56D1"/>
    <w:rsid w:val="0FA61B22"/>
    <w:rsid w:val="0FE66D6F"/>
    <w:rsid w:val="0FE8213B"/>
    <w:rsid w:val="0FF21B0D"/>
    <w:rsid w:val="10030D22"/>
    <w:rsid w:val="101271B8"/>
    <w:rsid w:val="10253103"/>
    <w:rsid w:val="10446562"/>
    <w:rsid w:val="10567AAD"/>
    <w:rsid w:val="1062785C"/>
    <w:rsid w:val="106761C9"/>
    <w:rsid w:val="106D2640"/>
    <w:rsid w:val="10B0435A"/>
    <w:rsid w:val="10B05415"/>
    <w:rsid w:val="10B63275"/>
    <w:rsid w:val="10BE4C49"/>
    <w:rsid w:val="10CC55B8"/>
    <w:rsid w:val="10CF6E57"/>
    <w:rsid w:val="10D426BF"/>
    <w:rsid w:val="110034B4"/>
    <w:rsid w:val="112528DB"/>
    <w:rsid w:val="1149729A"/>
    <w:rsid w:val="114F1D45"/>
    <w:rsid w:val="11506E34"/>
    <w:rsid w:val="115C0990"/>
    <w:rsid w:val="11717F0E"/>
    <w:rsid w:val="11A91098"/>
    <w:rsid w:val="11B04EDA"/>
    <w:rsid w:val="11B147AE"/>
    <w:rsid w:val="11B269FB"/>
    <w:rsid w:val="11BA7B07"/>
    <w:rsid w:val="11BD3153"/>
    <w:rsid w:val="11D6411E"/>
    <w:rsid w:val="11E9219A"/>
    <w:rsid w:val="11FF19BD"/>
    <w:rsid w:val="1216662B"/>
    <w:rsid w:val="122B4561"/>
    <w:rsid w:val="12376CFC"/>
    <w:rsid w:val="124D44D7"/>
    <w:rsid w:val="127F37BE"/>
    <w:rsid w:val="12906AB9"/>
    <w:rsid w:val="12A10CC7"/>
    <w:rsid w:val="12A913CD"/>
    <w:rsid w:val="12AC38F3"/>
    <w:rsid w:val="12B04A66"/>
    <w:rsid w:val="12B10F0A"/>
    <w:rsid w:val="12C60473"/>
    <w:rsid w:val="12D1335A"/>
    <w:rsid w:val="12D270D2"/>
    <w:rsid w:val="12E249D8"/>
    <w:rsid w:val="12E3308D"/>
    <w:rsid w:val="12E84200"/>
    <w:rsid w:val="13021412"/>
    <w:rsid w:val="13051255"/>
    <w:rsid w:val="1308179D"/>
    <w:rsid w:val="13465E30"/>
    <w:rsid w:val="134753CA"/>
    <w:rsid w:val="13561AB1"/>
    <w:rsid w:val="13622204"/>
    <w:rsid w:val="136B5021"/>
    <w:rsid w:val="13717587"/>
    <w:rsid w:val="1393060F"/>
    <w:rsid w:val="13A4418E"/>
    <w:rsid w:val="13AB3BAB"/>
    <w:rsid w:val="13B412E0"/>
    <w:rsid w:val="13BE5306"/>
    <w:rsid w:val="13C56958"/>
    <w:rsid w:val="13CD3110"/>
    <w:rsid w:val="13D85AF6"/>
    <w:rsid w:val="13DF3855"/>
    <w:rsid w:val="14244083"/>
    <w:rsid w:val="143C7C6A"/>
    <w:rsid w:val="143F3DAE"/>
    <w:rsid w:val="145002AE"/>
    <w:rsid w:val="146E6986"/>
    <w:rsid w:val="149E726C"/>
    <w:rsid w:val="14B47D22"/>
    <w:rsid w:val="14B7650A"/>
    <w:rsid w:val="14BC1DE8"/>
    <w:rsid w:val="14BD1C16"/>
    <w:rsid w:val="14C111AC"/>
    <w:rsid w:val="14ED01F3"/>
    <w:rsid w:val="14FE431A"/>
    <w:rsid w:val="150F3CC6"/>
    <w:rsid w:val="151614F8"/>
    <w:rsid w:val="152534E9"/>
    <w:rsid w:val="1534372C"/>
    <w:rsid w:val="153701B6"/>
    <w:rsid w:val="153E4605"/>
    <w:rsid w:val="15402535"/>
    <w:rsid w:val="15452A85"/>
    <w:rsid w:val="1548367B"/>
    <w:rsid w:val="154A7BC0"/>
    <w:rsid w:val="15567B46"/>
    <w:rsid w:val="1576433E"/>
    <w:rsid w:val="15783F61"/>
    <w:rsid w:val="15A9411A"/>
    <w:rsid w:val="15D66ED9"/>
    <w:rsid w:val="15E11967"/>
    <w:rsid w:val="15FC518A"/>
    <w:rsid w:val="160B1CC9"/>
    <w:rsid w:val="160F0E32"/>
    <w:rsid w:val="16132B12"/>
    <w:rsid w:val="161A3B3B"/>
    <w:rsid w:val="161B3D4F"/>
    <w:rsid w:val="162E461F"/>
    <w:rsid w:val="1662251B"/>
    <w:rsid w:val="16692350"/>
    <w:rsid w:val="16694C7F"/>
    <w:rsid w:val="16726C02"/>
    <w:rsid w:val="167404AA"/>
    <w:rsid w:val="1675250D"/>
    <w:rsid w:val="16777D74"/>
    <w:rsid w:val="16871A0C"/>
    <w:rsid w:val="1695644C"/>
    <w:rsid w:val="16B46D10"/>
    <w:rsid w:val="16C531D6"/>
    <w:rsid w:val="16DC407B"/>
    <w:rsid w:val="170016BE"/>
    <w:rsid w:val="170360DC"/>
    <w:rsid w:val="170F61FF"/>
    <w:rsid w:val="171A7DCF"/>
    <w:rsid w:val="171F16AA"/>
    <w:rsid w:val="17233A97"/>
    <w:rsid w:val="173D1F91"/>
    <w:rsid w:val="17496E71"/>
    <w:rsid w:val="17716C78"/>
    <w:rsid w:val="17720928"/>
    <w:rsid w:val="177665C1"/>
    <w:rsid w:val="17963EDC"/>
    <w:rsid w:val="17B62AA6"/>
    <w:rsid w:val="17B7698E"/>
    <w:rsid w:val="17BA4381"/>
    <w:rsid w:val="17BD7B32"/>
    <w:rsid w:val="17C4348D"/>
    <w:rsid w:val="17C52D61"/>
    <w:rsid w:val="17C74D2B"/>
    <w:rsid w:val="17CF598E"/>
    <w:rsid w:val="17DF2075"/>
    <w:rsid w:val="17E772EE"/>
    <w:rsid w:val="180E537B"/>
    <w:rsid w:val="18115FA7"/>
    <w:rsid w:val="183A374F"/>
    <w:rsid w:val="185643E7"/>
    <w:rsid w:val="1859745A"/>
    <w:rsid w:val="186B3909"/>
    <w:rsid w:val="18751665"/>
    <w:rsid w:val="188744BB"/>
    <w:rsid w:val="188750DA"/>
    <w:rsid w:val="18B85800"/>
    <w:rsid w:val="18DE057F"/>
    <w:rsid w:val="19033B41"/>
    <w:rsid w:val="1942514A"/>
    <w:rsid w:val="1946045D"/>
    <w:rsid w:val="196F567B"/>
    <w:rsid w:val="199F2B26"/>
    <w:rsid w:val="19A5280F"/>
    <w:rsid w:val="19B55C00"/>
    <w:rsid w:val="19BB08C0"/>
    <w:rsid w:val="19D35C0A"/>
    <w:rsid w:val="19D41982"/>
    <w:rsid w:val="19D92AF4"/>
    <w:rsid w:val="19EF02D8"/>
    <w:rsid w:val="19FE255B"/>
    <w:rsid w:val="1A250DFD"/>
    <w:rsid w:val="1A385A6D"/>
    <w:rsid w:val="1A514C61"/>
    <w:rsid w:val="1A5D3725"/>
    <w:rsid w:val="1A6118A6"/>
    <w:rsid w:val="1A767250"/>
    <w:rsid w:val="1AAE02B6"/>
    <w:rsid w:val="1AAE5D2F"/>
    <w:rsid w:val="1AC4061E"/>
    <w:rsid w:val="1ACB068F"/>
    <w:rsid w:val="1AD24719"/>
    <w:rsid w:val="1AE701CE"/>
    <w:rsid w:val="1AEF358E"/>
    <w:rsid w:val="1AF26175"/>
    <w:rsid w:val="1AFF3835"/>
    <w:rsid w:val="1B031AE4"/>
    <w:rsid w:val="1B08445F"/>
    <w:rsid w:val="1B0E45D8"/>
    <w:rsid w:val="1B354519"/>
    <w:rsid w:val="1B446693"/>
    <w:rsid w:val="1B684130"/>
    <w:rsid w:val="1B697EA8"/>
    <w:rsid w:val="1B6F3710"/>
    <w:rsid w:val="1B707488"/>
    <w:rsid w:val="1B897CED"/>
    <w:rsid w:val="1BB13D28"/>
    <w:rsid w:val="1BCC0FFC"/>
    <w:rsid w:val="1BF03CF7"/>
    <w:rsid w:val="1BF4763F"/>
    <w:rsid w:val="1C015E2B"/>
    <w:rsid w:val="1C1758EF"/>
    <w:rsid w:val="1C1B78F6"/>
    <w:rsid w:val="1C22061E"/>
    <w:rsid w:val="1C2564C4"/>
    <w:rsid w:val="1C293CB4"/>
    <w:rsid w:val="1C35495A"/>
    <w:rsid w:val="1C3A58E8"/>
    <w:rsid w:val="1C55524B"/>
    <w:rsid w:val="1C6074FD"/>
    <w:rsid w:val="1C611A96"/>
    <w:rsid w:val="1C712259"/>
    <w:rsid w:val="1C744D56"/>
    <w:rsid w:val="1C754DAA"/>
    <w:rsid w:val="1C7D1E5D"/>
    <w:rsid w:val="1C9D613D"/>
    <w:rsid w:val="1CA57490"/>
    <w:rsid w:val="1CA7017F"/>
    <w:rsid w:val="1CAE18F2"/>
    <w:rsid w:val="1CBC2BCA"/>
    <w:rsid w:val="1CC4027F"/>
    <w:rsid w:val="1CC47A8B"/>
    <w:rsid w:val="1CE52743"/>
    <w:rsid w:val="1D0A5A13"/>
    <w:rsid w:val="1D104A7F"/>
    <w:rsid w:val="1D2849AA"/>
    <w:rsid w:val="1D4806BC"/>
    <w:rsid w:val="1D6C421D"/>
    <w:rsid w:val="1DC51D0D"/>
    <w:rsid w:val="1DD7559C"/>
    <w:rsid w:val="1DE32193"/>
    <w:rsid w:val="1E0565AE"/>
    <w:rsid w:val="1E332FED"/>
    <w:rsid w:val="1E592455"/>
    <w:rsid w:val="1E5F7ACC"/>
    <w:rsid w:val="1E6C6425"/>
    <w:rsid w:val="1E7352C5"/>
    <w:rsid w:val="1E982F7E"/>
    <w:rsid w:val="1EA307B4"/>
    <w:rsid w:val="1EA85224"/>
    <w:rsid w:val="1EA96F39"/>
    <w:rsid w:val="1EC90DBA"/>
    <w:rsid w:val="1EC96889"/>
    <w:rsid w:val="1ECB3353"/>
    <w:rsid w:val="1ED37E3F"/>
    <w:rsid w:val="1EDA6220"/>
    <w:rsid w:val="1F096428"/>
    <w:rsid w:val="1F3D7E73"/>
    <w:rsid w:val="1F721A21"/>
    <w:rsid w:val="1F766A22"/>
    <w:rsid w:val="1F7A6B27"/>
    <w:rsid w:val="1F820784"/>
    <w:rsid w:val="1F872789"/>
    <w:rsid w:val="1F972A25"/>
    <w:rsid w:val="1F9F0034"/>
    <w:rsid w:val="1FA2359F"/>
    <w:rsid w:val="1FC87561"/>
    <w:rsid w:val="1FD13583"/>
    <w:rsid w:val="1FDE70B6"/>
    <w:rsid w:val="201A79C2"/>
    <w:rsid w:val="20270A5D"/>
    <w:rsid w:val="20457135"/>
    <w:rsid w:val="205D1F3E"/>
    <w:rsid w:val="207B29FD"/>
    <w:rsid w:val="2080559D"/>
    <w:rsid w:val="20832C8C"/>
    <w:rsid w:val="208714FC"/>
    <w:rsid w:val="209213A1"/>
    <w:rsid w:val="20BB48DA"/>
    <w:rsid w:val="20D562AB"/>
    <w:rsid w:val="20D63AA7"/>
    <w:rsid w:val="20E22BD6"/>
    <w:rsid w:val="21075857"/>
    <w:rsid w:val="21260D15"/>
    <w:rsid w:val="213A79B0"/>
    <w:rsid w:val="213D7E0C"/>
    <w:rsid w:val="21577120"/>
    <w:rsid w:val="21613AFB"/>
    <w:rsid w:val="21650063"/>
    <w:rsid w:val="216A5A38"/>
    <w:rsid w:val="21723F5A"/>
    <w:rsid w:val="218B6DCA"/>
    <w:rsid w:val="2191693A"/>
    <w:rsid w:val="21AE08EF"/>
    <w:rsid w:val="21B54928"/>
    <w:rsid w:val="21C61BB0"/>
    <w:rsid w:val="21DD5B3F"/>
    <w:rsid w:val="21E12E8E"/>
    <w:rsid w:val="21FF50C2"/>
    <w:rsid w:val="222B4109"/>
    <w:rsid w:val="22327245"/>
    <w:rsid w:val="224D609F"/>
    <w:rsid w:val="225C2514"/>
    <w:rsid w:val="22601E18"/>
    <w:rsid w:val="22680EB9"/>
    <w:rsid w:val="226A4C31"/>
    <w:rsid w:val="22743A14"/>
    <w:rsid w:val="22837FA0"/>
    <w:rsid w:val="229B4DEA"/>
    <w:rsid w:val="22A26779"/>
    <w:rsid w:val="22B018A9"/>
    <w:rsid w:val="22B1460E"/>
    <w:rsid w:val="22DD18A7"/>
    <w:rsid w:val="22DD5403"/>
    <w:rsid w:val="22E6359D"/>
    <w:rsid w:val="231728B7"/>
    <w:rsid w:val="23202072"/>
    <w:rsid w:val="234611FA"/>
    <w:rsid w:val="236E4B2D"/>
    <w:rsid w:val="23A62C8D"/>
    <w:rsid w:val="23AB5501"/>
    <w:rsid w:val="23B55C1C"/>
    <w:rsid w:val="23D305B4"/>
    <w:rsid w:val="23E33610"/>
    <w:rsid w:val="23FE35D4"/>
    <w:rsid w:val="24003A9F"/>
    <w:rsid w:val="24066307"/>
    <w:rsid w:val="24251BD4"/>
    <w:rsid w:val="24280900"/>
    <w:rsid w:val="242E1C8E"/>
    <w:rsid w:val="24322FD4"/>
    <w:rsid w:val="2432352D"/>
    <w:rsid w:val="243472A5"/>
    <w:rsid w:val="2435301D"/>
    <w:rsid w:val="244A6AC8"/>
    <w:rsid w:val="246B44A0"/>
    <w:rsid w:val="248B0E8F"/>
    <w:rsid w:val="24A10B6D"/>
    <w:rsid w:val="24A81A41"/>
    <w:rsid w:val="24B22917"/>
    <w:rsid w:val="24B44889"/>
    <w:rsid w:val="24B91EA0"/>
    <w:rsid w:val="24C97932"/>
    <w:rsid w:val="24CC3981"/>
    <w:rsid w:val="24CC4ADC"/>
    <w:rsid w:val="24E567F1"/>
    <w:rsid w:val="2503311B"/>
    <w:rsid w:val="25105A94"/>
    <w:rsid w:val="251333DB"/>
    <w:rsid w:val="251470D6"/>
    <w:rsid w:val="251F7F55"/>
    <w:rsid w:val="252862C4"/>
    <w:rsid w:val="25315EDA"/>
    <w:rsid w:val="25336D2A"/>
    <w:rsid w:val="25695674"/>
    <w:rsid w:val="256A683C"/>
    <w:rsid w:val="257C2032"/>
    <w:rsid w:val="257C7019"/>
    <w:rsid w:val="257F6C45"/>
    <w:rsid w:val="25A4115A"/>
    <w:rsid w:val="25D5531A"/>
    <w:rsid w:val="25DF6012"/>
    <w:rsid w:val="26217CFD"/>
    <w:rsid w:val="262676B5"/>
    <w:rsid w:val="2631175F"/>
    <w:rsid w:val="26502C84"/>
    <w:rsid w:val="265C2F85"/>
    <w:rsid w:val="268F2EB8"/>
    <w:rsid w:val="26900464"/>
    <w:rsid w:val="269F3049"/>
    <w:rsid w:val="26A81544"/>
    <w:rsid w:val="26AD333E"/>
    <w:rsid w:val="26DA1223"/>
    <w:rsid w:val="26E3051D"/>
    <w:rsid w:val="26FB22FC"/>
    <w:rsid w:val="2704129C"/>
    <w:rsid w:val="270D5602"/>
    <w:rsid w:val="27172AFA"/>
    <w:rsid w:val="27206206"/>
    <w:rsid w:val="272F56AA"/>
    <w:rsid w:val="27462BA9"/>
    <w:rsid w:val="274860DA"/>
    <w:rsid w:val="27537435"/>
    <w:rsid w:val="276415E7"/>
    <w:rsid w:val="27784416"/>
    <w:rsid w:val="27814EF7"/>
    <w:rsid w:val="27910223"/>
    <w:rsid w:val="27AA5C63"/>
    <w:rsid w:val="27AB4887"/>
    <w:rsid w:val="27B77D04"/>
    <w:rsid w:val="27C83DAF"/>
    <w:rsid w:val="27CA2D64"/>
    <w:rsid w:val="27D15ACC"/>
    <w:rsid w:val="27DE6A8A"/>
    <w:rsid w:val="28321D10"/>
    <w:rsid w:val="28421C95"/>
    <w:rsid w:val="285F3D76"/>
    <w:rsid w:val="286B34B1"/>
    <w:rsid w:val="28924C1A"/>
    <w:rsid w:val="28947E12"/>
    <w:rsid w:val="2895359B"/>
    <w:rsid w:val="289B3148"/>
    <w:rsid w:val="289D4C37"/>
    <w:rsid w:val="289E5635"/>
    <w:rsid w:val="28B74948"/>
    <w:rsid w:val="28E82D54"/>
    <w:rsid w:val="28FD6DAE"/>
    <w:rsid w:val="29156484"/>
    <w:rsid w:val="29257B04"/>
    <w:rsid w:val="29472738"/>
    <w:rsid w:val="29616F9E"/>
    <w:rsid w:val="296A0C52"/>
    <w:rsid w:val="296D0286"/>
    <w:rsid w:val="298D63FA"/>
    <w:rsid w:val="29B6075C"/>
    <w:rsid w:val="29BC6D67"/>
    <w:rsid w:val="29CB4434"/>
    <w:rsid w:val="29D56CCD"/>
    <w:rsid w:val="29D648F3"/>
    <w:rsid w:val="29E03862"/>
    <w:rsid w:val="29FC72D7"/>
    <w:rsid w:val="2A0C7778"/>
    <w:rsid w:val="2A135BAE"/>
    <w:rsid w:val="2A16100C"/>
    <w:rsid w:val="2A375D41"/>
    <w:rsid w:val="2A4346E5"/>
    <w:rsid w:val="2A6B1546"/>
    <w:rsid w:val="2A701253"/>
    <w:rsid w:val="2A905B92"/>
    <w:rsid w:val="2A9D36CA"/>
    <w:rsid w:val="2A9E098E"/>
    <w:rsid w:val="2AC944BF"/>
    <w:rsid w:val="2AF53996"/>
    <w:rsid w:val="2B0700F0"/>
    <w:rsid w:val="2B5526CC"/>
    <w:rsid w:val="2B6C7C6C"/>
    <w:rsid w:val="2B78564C"/>
    <w:rsid w:val="2B880F4C"/>
    <w:rsid w:val="2B996587"/>
    <w:rsid w:val="2BA54F2C"/>
    <w:rsid w:val="2BA80578"/>
    <w:rsid w:val="2BE27F2E"/>
    <w:rsid w:val="2BF02877"/>
    <w:rsid w:val="2BF8505C"/>
    <w:rsid w:val="2C025EDA"/>
    <w:rsid w:val="2C027408"/>
    <w:rsid w:val="2C0E487F"/>
    <w:rsid w:val="2C2456BF"/>
    <w:rsid w:val="2C2E3173"/>
    <w:rsid w:val="2C387B86"/>
    <w:rsid w:val="2C650B33"/>
    <w:rsid w:val="2C69545A"/>
    <w:rsid w:val="2C6B7F24"/>
    <w:rsid w:val="2C901C6B"/>
    <w:rsid w:val="2C9D5C03"/>
    <w:rsid w:val="2CB74F17"/>
    <w:rsid w:val="2CB96BE7"/>
    <w:rsid w:val="2CC70060"/>
    <w:rsid w:val="2D2053AE"/>
    <w:rsid w:val="2D4848E6"/>
    <w:rsid w:val="2D5409B8"/>
    <w:rsid w:val="2D5D3ADD"/>
    <w:rsid w:val="2D720E3E"/>
    <w:rsid w:val="2D855819"/>
    <w:rsid w:val="2D8C6181"/>
    <w:rsid w:val="2D9139BA"/>
    <w:rsid w:val="2DAB43D5"/>
    <w:rsid w:val="2DAD3B55"/>
    <w:rsid w:val="2DBD3FAC"/>
    <w:rsid w:val="2DC45B3D"/>
    <w:rsid w:val="2DD83C18"/>
    <w:rsid w:val="2DF81343"/>
    <w:rsid w:val="2DF92ABE"/>
    <w:rsid w:val="2DFD2DFD"/>
    <w:rsid w:val="2E0B3064"/>
    <w:rsid w:val="2E2465DC"/>
    <w:rsid w:val="2E3600BD"/>
    <w:rsid w:val="2E4C33EA"/>
    <w:rsid w:val="2E4E5407"/>
    <w:rsid w:val="2E50117F"/>
    <w:rsid w:val="2E627104"/>
    <w:rsid w:val="2E642410"/>
    <w:rsid w:val="2E831E65"/>
    <w:rsid w:val="2E8C5F2F"/>
    <w:rsid w:val="2E955F8E"/>
    <w:rsid w:val="2EA43279"/>
    <w:rsid w:val="2EB5227A"/>
    <w:rsid w:val="2EBC0970"/>
    <w:rsid w:val="2ECE37A6"/>
    <w:rsid w:val="2ED40002"/>
    <w:rsid w:val="2EDE2ABC"/>
    <w:rsid w:val="2EE67D35"/>
    <w:rsid w:val="2EED3DCE"/>
    <w:rsid w:val="2EF35D06"/>
    <w:rsid w:val="2EF51D26"/>
    <w:rsid w:val="2F0B779C"/>
    <w:rsid w:val="2F2A7C22"/>
    <w:rsid w:val="2F2D14C0"/>
    <w:rsid w:val="2F364819"/>
    <w:rsid w:val="2F495FF8"/>
    <w:rsid w:val="2F534264"/>
    <w:rsid w:val="2F70169C"/>
    <w:rsid w:val="2F723377"/>
    <w:rsid w:val="2F741F0C"/>
    <w:rsid w:val="2F7B5976"/>
    <w:rsid w:val="2F950188"/>
    <w:rsid w:val="2F963768"/>
    <w:rsid w:val="2FB35E69"/>
    <w:rsid w:val="2FC35416"/>
    <w:rsid w:val="2FD01DCD"/>
    <w:rsid w:val="2FEA73EC"/>
    <w:rsid w:val="2FF26266"/>
    <w:rsid w:val="2FFF10AF"/>
    <w:rsid w:val="301B756B"/>
    <w:rsid w:val="302E23A2"/>
    <w:rsid w:val="304F2F3D"/>
    <w:rsid w:val="30676C54"/>
    <w:rsid w:val="306E7FE2"/>
    <w:rsid w:val="30745C60"/>
    <w:rsid w:val="307F3F9D"/>
    <w:rsid w:val="3082703A"/>
    <w:rsid w:val="30AA08EF"/>
    <w:rsid w:val="30BF25EC"/>
    <w:rsid w:val="30C22DEB"/>
    <w:rsid w:val="30DA11D4"/>
    <w:rsid w:val="30DD2182"/>
    <w:rsid w:val="30E65DCB"/>
    <w:rsid w:val="30EC0F07"/>
    <w:rsid w:val="30F36A58"/>
    <w:rsid w:val="312608BD"/>
    <w:rsid w:val="31264419"/>
    <w:rsid w:val="31376D8A"/>
    <w:rsid w:val="31413001"/>
    <w:rsid w:val="31564E34"/>
    <w:rsid w:val="315947EF"/>
    <w:rsid w:val="316E4D00"/>
    <w:rsid w:val="317E1AB8"/>
    <w:rsid w:val="31856A2A"/>
    <w:rsid w:val="3189008A"/>
    <w:rsid w:val="318B26F6"/>
    <w:rsid w:val="31A939D7"/>
    <w:rsid w:val="31AE76A3"/>
    <w:rsid w:val="31B46117"/>
    <w:rsid w:val="31B870FC"/>
    <w:rsid w:val="31D71BB7"/>
    <w:rsid w:val="31DA66C0"/>
    <w:rsid w:val="31E13CEA"/>
    <w:rsid w:val="31E16EB9"/>
    <w:rsid w:val="31F938DC"/>
    <w:rsid w:val="3200110E"/>
    <w:rsid w:val="32161423"/>
    <w:rsid w:val="32192170"/>
    <w:rsid w:val="32301987"/>
    <w:rsid w:val="3240775C"/>
    <w:rsid w:val="32486C9B"/>
    <w:rsid w:val="32517C13"/>
    <w:rsid w:val="3273782E"/>
    <w:rsid w:val="32786E58"/>
    <w:rsid w:val="327B2543"/>
    <w:rsid w:val="32982C7D"/>
    <w:rsid w:val="32B1065A"/>
    <w:rsid w:val="330B19D8"/>
    <w:rsid w:val="33176C7E"/>
    <w:rsid w:val="332463B9"/>
    <w:rsid w:val="335A617B"/>
    <w:rsid w:val="33613E2E"/>
    <w:rsid w:val="33784CD4"/>
    <w:rsid w:val="337F7EDC"/>
    <w:rsid w:val="33802FCE"/>
    <w:rsid w:val="33924B1E"/>
    <w:rsid w:val="33A27A9D"/>
    <w:rsid w:val="33BA2A4E"/>
    <w:rsid w:val="33CD4758"/>
    <w:rsid w:val="33F26834"/>
    <w:rsid w:val="33F46A50"/>
    <w:rsid w:val="34284AAC"/>
    <w:rsid w:val="34313801"/>
    <w:rsid w:val="343D21A6"/>
    <w:rsid w:val="344A6670"/>
    <w:rsid w:val="344C4197"/>
    <w:rsid w:val="345319C9"/>
    <w:rsid w:val="346534AA"/>
    <w:rsid w:val="346F5424"/>
    <w:rsid w:val="348C6C89"/>
    <w:rsid w:val="34951FE2"/>
    <w:rsid w:val="34A845B2"/>
    <w:rsid w:val="34D10196"/>
    <w:rsid w:val="34DF2799"/>
    <w:rsid w:val="34E70363"/>
    <w:rsid w:val="34E921F3"/>
    <w:rsid w:val="34F0546A"/>
    <w:rsid w:val="34F30AB6"/>
    <w:rsid w:val="34F85849"/>
    <w:rsid w:val="352A5588"/>
    <w:rsid w:val="352C3FC8"/>
    <w:rsid w:val="35496928"/>
    <w:rsid w:val="35505F08"/>
    <w:rsid w:val="35537A8E"/>
    <w:rsid w:val="35642BCE"/>
    <w:rsid w:val="35775243"/>
    <w:rsid w:val="357E2A76"/>
    <w:rsid w:val="35935DF5"/>
    <w:rsid w:val="35951B6D"/>
    <w:rsid w:val="35A16764"/>
    <w:rsid w:val="35BA7826"/>
    <w:rsid w:val="35BF48B6"/>
    <w:rsid w:val="35C12962"/>
    <w:rsid w:val="35EF3DD7"/>
    <w:rsid w:val="35F42D38"/>
    <w:rsid w:val="35F76384"/>
    <w:rsid w:val="35FB2318"/>
    <w:rsid w:val="361E6007"/>
    <w:rsid w:val="363475D8"/>
    <w:rsid w:val="36394BEF"/>
    <w:rsid w:val="363D46DF"/>
    <w:rsid w:val="365B6772"/>
    <w:rsid w:val="365E4655"/>
    <w:rsid w:val="365E6403"/>
    <w:rsid w:val="366C6D72"/>
    <w:rsid w:val="36703B69"/>
    <w:rsid w:val="36787A35"/>
    <w:rsid w:val="368C473A"/>
    <w:rsid w:val="3699568D"/>
    <w:rsid w:val="369D2D57"/>
    <w:rsid w:val="36A3137F"/>
    <w:rsid w:val="36C14E36"/>
    <w:rsid w:val="36C956B7"/>
    <w:rsid w:val="36CA0FCB"/>
    <w:rsid w:val="36CC5584"/>
    <w:rsid w:val="37024FE0"/>
    <w:rsid w:val="37120513"/>
    <w:rsid w:val="37180BB3"/>
    <w:rsid w:val="37216232"/>
    <w:rsid w:val="37227431"/>
    <w:rsid w:val="372431A9"/>
    <w:rsid w:val="373830F8"/>
    <w:rsid w:val="37465815"/>
    <w:rsid w:val="374B7E97"/>
    <w:rsid w:val="37515F68"/>
    <w:rsid w:val="37716C1C"/>
    <w:rsid w:val="377277A2"/>
    <w:rsid w:val="378773BF"/>
    <w:rsid w:val="37881F93"/>
    <w:rsid w:val="37920A5A"/>
    <w:rsid w:val="379E0F5A"/>
    <w:rsid w:val="37AB1B1C"/>
    <w:rsid w:val="37D6626F"/>
    <w:rsid w:val="37E62B54"/>
    <w:rsid w:val="37F039D3"/>
    <w:rsid w:val="37F94635"/>
    <w:rsid w:val="3801173C"/>
    <w:rsid w:val="3821430B"/>
    <w:rsid w:val="38370DF3"/>
    <w:rsid w:val="38411641"/>
    <w:rsid w:val="3862667F"/>
    <w:rsid w:val="38671D2B"/>
    <w:rsid w:val="386961FF"/>
    <w:rsid w:val="387B14EE"/>
    <w:rsid w:val="387E0FDF"/>
    <w:rsid w:val="388D5565"/>
    <w:rsid w:val="38961492"/>
    <w:rsid w:val="389D1465"/>
    <w:rsid w:val="38A00F55"/>
    <w:rsid w:val="38A8605B"/>
    <w:rsid w:val="38AA029E"/>
    <w:rsid w:val="38B93DC5"/>
    <w:rsid w:val="38C22C79"/>
    <w:rsid w:val="38FD0155"/>
    <w:rsid w:val="38FD6CCD"/>
    <w:rsid w:val="39052A90"/>
    <w:rsid w:val="390E5DA2"/>
    <w:rsid w:val="3916555E"/>
    <w:rsid w:val="39203E44"/>
    <w:rsid w:val="3930494F"/>
    <w:rsid w:val="39333B77"/>
    <w:rsid w:val="395464D9"/>
    <w:rsid w:val="396A349E"/>
    <w:rsid w:val="397F6B73"/>
    <w:rsid w:val="398443D3"/>
    <w:rsid w:val="399F2FBB"/>
    <w:rsid w:val="39BA6046"/>
    <w:rsid w:val="39DA6F54"/>
    <w:rsid w:val="39F96B6F"/>
    <w:rsid w:val="3A030D89"/>
    <w:rsid w:val="3A5B35FE"/>
    <w:rsid w:val="3A5F4F0F"/>
    <w:rsid w:val="3A723487"/>
    <w:rsid w:val="3A837743"/>
    <w:rsid w:val="3A8C7BBB"/>
    <w:rsid w:val="3ABE6A60"/>
    <w:rsid w:val="3ACE1F9C"/>
    <w:rsid w:val="3AD43138"/>
    <w:rsid w:val="3AE910C9"/>
    <w:rsid w:val="3B091033"/>
    <w:rsid w:val="3B0B6A38"/>
    <w:rsid w:val="3B450AC1"/>
    <w:rsid w:val="3B5100A0"/>
    <w:rsid w:val="3B653D90"/>
    <w:rsid w:val="3B712735"/>
    <w:rsid w:val="3B717A64"/>
    <w:rsid w:val="3B7F12F6"/>
    <w:rsid w:val="3B81506E"/>
    <w:rsid w:val="3B8E4C3E"/>
    <w:rsid w:val="3B9823B7"/>
    <w:rsid w:val="3B9D48B1"/>
    <w:rsid w:val="3BAC4694"/>
    <w:rsid w:val="3BCB62E9"/>
    <w:rsid w:val="3BE033EA"/>
    <w:rsid w:val="3BEA6F82"/>
    <w:rsid w:val="3BF35840"/>
    <w:rsid w:val="3BFA4543"/>
    <w:rsid w:val="3C20271F"/>
    <w:rsid w:val="3C204956"/>
    <w:rsid w:val="3C2343DA"/>
    <w:rsid w:val="3C4134F2"/>
    <w:rsid w:val="3C6B6D8B"/>
    <w:rsid w:val="3C8446EA"/>
    <w:rsid w:val="3C8A7F52"/>
    <w:rsid w:val="3C9644F1"/>
    <w:rsid w:val="3CA209B6"/>
    <w:rsid w:val="3CE27D8E"/>
    <w:rsid w:val="3CFE7846"/>
    <w:rsid w:val="3D121CF5"/>
    <w:rsid w:val="3D3E50E4"/>
    <w:rsid w:val="3D484890"/>
    <w:rsid w:val="3D52010E"/>
    <w:rsid w:val="3D536596"/>
    <w:rsid w:val="3D606F05"/>
    <w:rsid w:val="3D67406A"/>
    <w:rsid w:val="3D956BAE"/>
    <w:rsid w:val="3DA2751D"/>
    <w:rsid w:val="3DBB4664"/>
    <w:rsid w:val="3DD07BE6"/>
    <w:rsid w:val="3DD735CC"/>
    <w:rsid w:val="3DE418E4"/>
    <w:rsid w:val="3DE71E98"/>
    <w:rsid w:val="3DF61C96"/>
    <w:rsid w:val="3E261582"/>
    <w:rsid w:val="3E3068D7"/>
    <w:rsid w:val="3E460E21"/>
    <w:rsid w:val="3E5C76CC"/>
    <w:rsid w:val="3E646700"/>
    <w:rsid w:val="3E7E5894"/>
    <w:rsid w:val="3E824B01"/>
    <w:rsid w:val="3E88226F"/>
    <w:rsid w:val="3E9055C8"/>
    <w:rsid w:val="3E94330A"/>
    <w:rsid w:val="3E957A5E"/>
    <w:rsid w:val="3EB2021B"/>
    <w:rsid w:val="3EB65024"/>
    <w:rsid w:val="3EF34AB0"/>
    <w:rsid w:val="3F1A33BE"/>
    <w:rsid w:val="3F366D90"/>
    <w:rsid w:val="3F397A0D"/>
    <w:rsid w:val="3F43024A"/>
    <w:rsid w:val="3F47037C"/>
    <w:rsid w:val="3F5D7BA0"/>
    <w:rsid w:val="3F7171A7"/>
    <w:rsid w:val="3F982986"/>
    <w:rsid w:val="3F9B5FD2"/>
    <w:rsid w:val="3FA2474F"/>
    <w:rsid w:val="3FB04350"/>
    <w:rsid w:val="3FC00E7F"/>
    <w:rsid w:val="3FD01F04"/>
    <w:rsid w:val="3FD04C41"/>
    <w:rsid w:val="3FEC0F24"/>
    <w:rsid w:val="3FFB4CC3"/>
    <w:rsid w:val="3FFB6B90"/>
    <w:rsid w:val="3FFC1167"/>
    <w:rsid w:val="402E5F5A"/>
    <w:rsid w:val="4038353F"/>
    <w:rsid w:val="4039522C"/>
    <w:rsid w:val="406D21FA"/>
    <w:rsid w:val="40736F4F"/>
    <w:rsid w:val="4077259B"/>
    <w:rsid w:val="4081166C"/>
    <w:rsid w:val="40837B5B"/>
    <w:rsid w:val="40A57297"/>
    <w:rsid w:val="40E52203"/>
    <w:rsid w:val="40EB40E8"/>
    <w:rsid w:val="41001677"/>
    <w:rsid w:val="412D5A99"/>
    <w:rsid w:val="41306BEE"/>
    <w:rsid w:val="41363179"/>
    <w:rsid w:val="414F176A"/>
    <w:rsid w:val="415471E5"/>
    <w:rsid w:val="4156020A"/>
    <w:rsid w:val="41586871"/>
    <w:rsid w:val="417411D1"/>
    <w:rsid w:val="417C1E33"/>
    <w:rsid w:val="417E3DFD"/>
    <w:rsid w:val="41AC44C7"/>
    <w:rsid w:val="41C853B4"/>
    <w:rsid w:val="41E2438C"/>
    <w:rsid w:val="41EB4887"/>
    <w:rsid w:val="41F320F5"/>
    <w:rsid w:val="42230B25"/>
    <w:rsid w:val="4235270E"/>
    <w:rsid w:val="42497F67"/>
    <w:rsid w:val="4266781C"/>
    <w:rsid w:val="426A14AF"/>
    <w:rsid w:val="428216CB"/>
    <w:rsid w:val="42A15FF5"/>
    <w:rsid w:val="42B24AF2"/>
    <w:rsid w:val="42F36125"/>
    <w:rsid w:val="42FA5B64"/>
    <w:rsid w:val="43055156"/>
    <w:rsid w:val="4315253F"/>
    <w:rsid w:val="431A45BB"/>
    <w:rsid w:val="433650B7"/>
    <w:rsid w:val="433B561F"/>
    <w:rsid w:val="434479C6"/>
    <w:rsid w:val="43487EAF"/>
    <w:rsid w:val="43582D99"/>
    <w:rsid w:val="43681D2F"/>
    <w:rsid w:val="438751EB"/>
    <w:rsid w:val="43947908"/>
    <w:rsid w:val="43B104BA"/>
    <w:rsid w:val="43B83E35"/>
    <w:rsid w:val="43C34FE4"/>
    <w:rsid w:val="43DF5027"/>
    <w:rsid w:val="43E51E83"/>
    <w:rsid w:val="43E70F32"/>
    <w:rsid w:val="43EA577A"/>
    <w:rsid w:val="43FB1735"/>
    <w:rsid w:val="443F4F12"/>
    <w:rsid w:val="444035EC"/>
    <w:rsid w:val="444A7FC7"/>
    <w:rsid w:val="444B7D38"/>
    <w:rsid w:val="446D2B52"/>
    <w:rsid w:val="447358E1"/>
    <w:rsid w:val="449B2327"/>
    <w:rsid w:val="44BB359C"/>
    <w:rsid w:val="44C11BB3"/>
    <w:rsid w:val="44D60313"/>
    <w:rsid w:val="44E81204"/>
    <w:rsid w:val="45280308"/>
    <w:rsid w:val="45505AB1"/>
    <w:rsid w:val="45514AD3"/>
    <w:rsid w:val="455A2EAA"/>
    <w:rsid w:val="455C26A8"/>
    <w:rsid w:val="45691E73"/>
    <w:rsid w:val="458A2D71"/>
    <w:rsid w:val="45A30FDC"/>
    <w:rsid w:val="45BD19EA"/>
    <w:rsid w:val="45C16BBB"/>
    <w:rsid w:val="45D302DE"/>
    <w:rsid w:val="45D7693E"/>
    <w:rsid w:val="45DD5596"/>
    <w:rsid w:val="45E87A97"/>
    <w:rsid w:val="461E3AD2"/>
    <w:rsid w:val="46485FEA"/>
    <w:rsid w:val="466849EE"/>
    <w:rsid w:val="46753A21"/>
    <w:rsid w:val="46841EB6"/>
    <w:rsid w:val="46965745"/>
    <w:rsid w:val="46AA2F9F"/>
    <w:rsid w:val="46F64465"/>
    <w:rsid w:val="46FC79AA"/>
    <w:rsid w:val="46FF5313"/>
    <w:rsid w:val="47173184"/>
    <w:rsid w:val="472E7C0F"/>
    <w:rsid w:val="474D4056"/>
    <w:rsid w:val="474F24BA"/>
    <w:rsid w:val="47637D1D"/>
    <w:rsid w:val="477C039B"/>
    <w:rsid w:val="478E06F2"/>
    <w:rsid w:val="479954ED"/>
    <w:rsid w:val="47A10846"/>
    <w:rsid w:val="47A97FB7"/>
    <w:rsid w:val="47BD2550"/>
    <w:rsid w:val="47C1131D"/>
    <w:rsid w:val="47CA50F0"/>
    <w:rsid w:val="47D91D8D"/>
    <w:rsid w:val="47E0136E"/>
    <w:rsid w:val="47FB5C44"/>
    <w:rsid w:val="481C0642"/>
    <w:rsid w:val="484613FD"/>
    <w:rsid w:val="486C0E54"/>
    <w:rsid w:val="488506D8"/>
    <w:rsid w:val="488743B9"/>
    <w:rsid w:val="48A611BE"/>
    <w:rsid w:val="48A95C04"/>
    <w:rsid w:val="48CC02D4"/>
    <w:rsid w:val="48CD6222"/>
    <w:rsid w:val="48CF774D"/>
    <w:rsid w:val="48E704DA"/>
    <w:rsid w:val="48E80D8B"/>
    <w:rsid w:val="48F03833"/>
    <w:rsid w:val="4901159C"/>
    <w:rsid w:val="49061BED"/>
    <w:rsid w:val="491A440C"/>
    <w:rsid w:val="491D5CAA"/>
    <w:rsid w:val="49433E48"/>
    <w:rsid w:val="495656EB"/>
    <w:rsid w:val="49646021"/>
    <w:rsid w:val="49671865"/>
    <w:rsid w:val="496D4E83"/>
    <w:rsid w:val="497204A3"/>
    <w:rsid w:val="497930CA"/>
    <w:rsid w:val="497E2BEC"/>
    <w:rsid w:val="499A554C"/>
    <w:rsid w:val="49A91AD4"/>
    <w:rsid w:val="49B922C8"/>
    <w:rsid w:val="49CC7FC2"/>
    <w:rsid w:val="49DD4BCB"/>
    <w:rsid w:val="49F01EC8"/>
    <w:rsid w:val="4A0F4C6E"/>
    <w:rsid w:val="4A101264"/>
    <w:rsid w:val="4A220417"/>
    <w:rsid w:val="4A431740"/>
    <w:rsid w:val="4A432796"/>
    <w:rsid w:val="4A6A13C3"/>
    <w:rsid w:val="4A7E265A"/>
    <w:rsid w:val="4A885E64"/>
    <w:rsid w:val="4A8C004E"/>
    <w:rsid w:val="4A8E7961"/>
    <w:rsid w:val="4A8F755D"/>
    <w:rsid w:val="4AA06B93"/>
    <w:rsid w:val="4AB74BCA"/>
    <w:rsid w:val="4AE118AE"/>
    <w:rsid w:val="4AEC1DD8"/>
    <w:rsid w:val="4B247E30"/>
    <w:rsid w:val="4B38326F"/>
    <w:rsid w:val="4B4929CA"/>
    <w:rsid w:val="4B5811AD"/>
    <w:rsid w:val="4B6A3A0C"/>
    <w:rsid w:val="4BB472AC"/>
    <w:rsid w:val="4BC605B5"/>
    <w:rsid w:val="4BC93EC7"/>
    <w:rsid w:val="4BDE287F"/>
    <w:rsid w:val="4BF97B45"/>
    <w:rsid w:val="4C0924DF"/>
    <w:rsid w:val="4C0B37A5"/>
    <w:rsid w:val="4C0F5D7E"/>
    <w:rsid w:val="4C404189"/>
    <w:rsid w:val="4C4D4171"/>
    <w:rsid w:val="4C6D0121"/>
    <w:rsid w:val="4C6F0F12"/>
    <w:rsid w:val="4C6F2CC0"/>
    <w:rsid w:val="4C996369"/>
    <w:rsid w:val="4C9E35A6"/>
    <w:rsid w:val="4CA63DE7"/>
    <w:rsid w:val="4CAE37E9"/>
    <w:rsid w:val="4CC37905"/>
    <w:rsid w:val="4CC87890"/>
    <w:rsid w:val="4CD34FFD"/>
    <w:rsid w:val="4CD35B1F"/>
    <w:rsid w:val="4CE27936"/>
    <w:rsid w:val="4CED4824"/>
    <w:rsid w:val="4D0B09A2"/>
    <w:rsid w:val="4D0C39E9"/>
    <w:rsid w:val="4D2B308B"/>
    <w:rsid w:val="4D393F9B"/>
    <w:rsid w:val="4D5212B6"/>
    <w:rsid w:val="4D63237D"/>
    <w:rsid w:val="4D7D140D"/>
    <w:rsid w:val="4D924EB8"/>
    <w:rsid w:val="4DA644C0"/>
    <w:rsid w:val="4DB20CBF"/>
    <w:rsid w:val="4DB36BDD"/>
    <w:rsid w:val="4DD01DC4"/>
    <w:rsid w:val="4DE65204"/>
    <w:rsid w:val="4DE66FB2"/>
    <w:rsid w:val="4E034A3B"/>
    <w:rsid w:val="4E1E082E"/>
    <w:rsid w:val="4E204356"/>
    <w:rsid w:val="4E280A8D"/>
    <w:rsid w:val="4E3401A5"/>
    <w:rsid w:val="4E3E34B4"/>
    <w:rsid w:val="4E415EBE"/>
    <w:rsid w:val="4E4E209C"/>
    <w:rsid w:val="4E862355"/>
    <w:rsid w:val="4EA76741"/>
    <w:rsid w:val="4EB470B0"/>
    <w:rsid w:val="4EC14021"/>
    <w:rsid w:val="4EC27C04"/>
    <w:rsid w:val="4EC33BA0"/>
    <w:rsid w:val="4ED55027"/>
    <w:rsid w:val="4EE9076E"/>
    <w:rsid w:val="4EE96D5A"/>
    <w:rsid w:val="4EEE4370"/>
    <w:rsid w:val="4F0372C6"/>
    <w:rsid w:val="4F1C19CA"/>
    <w:rsid w:val="4F2002A2"/>
    <w:rsid w:val="4F2E49C0"/>
    <w:rsid w:val="4F7A5C04"/>
    <w:rsid w:val="4F8F1FF5"/>
    <w:rsid w:val="4FA262BD"/>
    <w:rsid w:val="4FA7451F"/>
    <w:rsid w:val="4FD013C0"/>
    <w:rsid w:val="4FDD43E5"/>
    <w:rsid w:val="4FE91211"/>
    <w:rsid w:val="500F0A42"/>
    <w:rsid w:val="501047BA"/>
    <w:rsid w:val="503C55AF"/>
    <w:rsid w:val="50461F8A"/>
    <w:rsid w:val="504D093F"/>
    <w:rsid w:val="506C524C"/>
    <w:rsid w:val="507C3BFE"/>
    <w:rsid w:val="50880828"/>
    <w:rsid w:val="509205B0"/>
    <w:rsid w:val="50940EC0"/>
    <w:rsid w:val="50A218B6"/>
    <w:rsid w:val="50AA2519"/>
    <w:rsid w:val="50B75038"/>
    <w:rsid w:val="50C20A02"/>
    <w:rsid w:val="50CB4803"/>
    <w:rsid w:val="50CF3D2E"/>
    <w:rsid w:val="50D844F0"/>
    <w:rsid w:val="50D94BAC"/>
    <w:rsid w:val="5107750D"/>
    <w:rsid w:val="510C6A50"/>
    <w:rsid w:val="511C255A"/>
    <w:rsid w:val="51204589"/>
    <w:rsid w:val="513242BC"/>
    <w:rsid w:val="513B13C3"/>
    <w:rsid w:val="513B474C"/>
    <w:rsid w:val="51432318"/>
    <w:rsid w:val="51695F30"/>
    <w:rsid w:val="517179E5"/>
    <w:rsid w:val="517F0146"/>
    <w:rsid w:val="518646AA"/>
    <w:rsid w:val="518C60C3"/>
    <w:rsid w:val="519A0DF5"/>
    <w:rsid w:val="51AB50F9"/>
    <w:rsid w:val="51BF62F0"/>
    <w:rsid w:val="51C418B3"/>
    <w:rsid w:val="51D35A9F"/>
    <w:rsid w:val="51D610EC"/>
    <w:rsid w:val="51DA09C8"/>
    <w:rsid w:val="51E568EC"/>
    <w:rsid w:val="51F01138"/>
    <w:rsid w:val="51F055E3"/>
    <w:rsid w:val="52067C23"/>
    <w:rsid w:val="520A5906"/>
    <w:rsid w:val="52271947"/>
    <w:rsid w:val="52397C05"/>
    <w:rsid w:val="523C1897"/>
    <w:rsid w:val="52581FCB"/>
    <w:rsid w:val="526130AB"/>
    <w:rsid w:val="52662470"/>
    <w:rsid w:val="526805D4"/>
    <w:rsid w:val="526E7576"/>
    <w:rsid w:val="527A24D1"/>
    <w:rsid w:val="52A61B9E"/>
    <w:rsid w:val="52B2362C"/>
    <w:rsid w:val="52C55120"/>
    <w:rsid w:val="53514ECE"/>
    <w:rsid w:val="535A7B90"/>
    <w:rsid w:val="5394300C"/>
    <w:rsid w:val="53966D85"/>
    <w:rsid w:val="539B439B"/>
    <w:rsid w:val="53B92A73"/>
    <w:rsid w:val="53C71634"/>
    <w:rsid w:val="53D2015A"/>
    <w:rsid w:val="540C54DA"/>
    <w:rsid w:val="540E1DD7"/>
    <w:rsid w:val="54177EC5"/>
    <w:rsid w:val="541A2B06"/>
    <w:rsid w:val="541C54DC"/>
    <w:rsid w:val="54222BF9"/>
    <w:rsid w:val="542B571F"/>
    <w:rsid w:val="543A0058"/>
    <w:rsid w:val="54422A68"/>
    <w:rsid w:val="54503D36"/>
    <w:rsid w:val="545B7EFC"/>
    <w:rsid w:val="54624EB9"/>
    <w:rsid w:val="546D21DB"/>
    <w:rsid w:val="5472334E"/>
    <w:rsid w:val="547B4C3D"/>
    <w:rsid w:val="548643DE"/>
    <w:rsid w:val="548C4C10"/>
    <w:rsid w:val="54B716A8"/>
    <w:rsid w:val="54B75204"/>
    <w:rsid w:val="54B90395"/>
    <w:rsid w:val="54D647BE"/>
    <w:rsid w:val="54D850E9"/>
    <w:rsid w:val="54F41FB5"/>
    <w:rsid w:val="54FB77E7"/>
    <w:rsid w:val="550660F8"/>
    <w:rsid w:val="550F4B19"/>
    <w:rsid w:val="552A3C28"/>
    <w:rsid w:val="553E6F50"/>
    <w:rsid w:val="55472A2C"/>
    <w:rsid w:val="554854D6"/>
    <w:rsid w:val="554D281D"/>
    <w:rsid w:val="556A04C9"/>
    <w:rsid w:val="5593725D"/>
    <w:rsid w:val="55A82D9F"/>
    <w:rsid w:val="55C71477"/>
    <w:rsid w:val="55CF657E"/>
    <w:rsid w:val="55DB4F23"/>
    <w:rsid w:val="55F32DE3"/>
    <w:rsid w:val="5607767D"/>
    <w:rsid w:val="560A363A"/>
    <w:rsid w:val="56130B60"/>
    <w:rsid w:val="56424FA2"/>
    <w:rsid w:val="564B3F06"/>
    <w:rsid w:val="565C2AF0"/>
    <w:rsid w:val="56735C2F"/>
    <w:rsid w:val="5679239B"/>
    <w:rsid w:val="56CD0555"/>
    <w:rsid w:val="56DA31DF"/>
    <w:rsid w:val="56EB5639"/>
    <w:rsid w:val="57060F64"/>
    <w:rsid w:val="57067EC2"/>
    <w:rsid w:val="571173A5"/>
    <w:rsid w:val="571E156B"/>
    <w:rsid w:val="572A6162"/>
    <w:rsid w:val="572B3C88"/>
    <w:rsid w:val="576378C6"/>
    <w:rsid w:val="577A50C0"/>
    <w:rsid w:val="577B69BD"/>
    <w:rsid w:val="57B974E6"/>
    <w:rsid w:val="57BC1059"/>
    <w:rsid w:val="57D436E4"/>
    <w:rsid w:val="57DC6871"/>
    <w:rsid w:val="5816223A"/>
    <w:rsid w:val="581F5323"/>
    <w:rsid w:val="581F7B5A"/>
    <w:rsid w:val="58223786"/>
    <w:rsid w:val="58240E03"/>
    <w:rsid w:val="583571D5"/>
    <w:rsid w:val="584D10E5"/>
    <w:rsid w:val="585F62DF"/>
    <w:rsid w:val="589D0BB5"/>
    <w:rsid w:val="58A837E2"/>
    <w:rsid w:val="58AE17DF"/>
    <w:rsid w:val="58B71C77"/>
    <w:rsid w:val="58CF6C81"/>
    <w:rsid w:val="58E42340"/>
    <w:rsid w:val="58F76517"/>
    <w:rsid w:val="5907408E"/>
    <w:rsid w:val="590A0119"/>
    <w:rsid w:val="591968B2"/>
    <w:rsid w:val="594159E5"/>
    <w:rsid w:val="594B4D84"/>
    <w:rsid w:val="596F5041"/>
    <w:rsid w:val="59A11348"/>
    <w:rsid w:val="59BF753B"/>
    <w:rsid w:val="59D41A06"/>
    <w:rsid w:val="59E940B2"/>
    <w:rsid w:val="59FE2AD8"/>
    <w:rsid w:val="5A0C7DA1"/>
    <w:rsid w:val="5A113609"/>
    <w:rsid w:val="5A1645DA"/>
    <w:rsid w:val="5A1B4488"/>
    <w:rsid w:val="5A31329A"/>
    <w:rsid w:val="5A422240"/>
    <w:rsid w:val="5A431330"/>
    <w:rsid w:val="5A4E660B"/>
    <w:rsid w:val="5A64198B"/>
    <w:rsid w:val="5A663955"/>
    <w:rsid w:val="5A6E0A5B"/>
    <w:rsid w:val="5A867B53"/>
    <w:rsid w:val="5A90324C"/>
    <w:rsid w:val="5AA91A93"/>
    <w:rsid w:val="5AB0697E"/>
    <w:rsid w:val="5AB346C0"/>
    <w:rsid w:val="5AC10B8B"/>
    <w:rsid w:val="5ACB5EDD"/>
    <w:rsid w:val="5ACF50FC"/>
    <w:rsid w:val="5AD73437"/>
    <w:rsid w:val="5ADC3C17"/>
    <w:rsid w:val="5B092532"/>
    <w:rsid w:val="5B0C74ED"/>
    <w:rsid w:val="5B2D6C29"/>
    <w:rsid w:val="5B417C5C"/>
    <w:rsid w:val="5B47350E"/>
    <w:rsid w:val="5B5C08B4"/>
    <w:rsid w:val="5B5F03A4"/>
    <w:rsid w:val="5B687259"/>
    <w:rsid w:val="5B85605C"/>
    <w:rsid w:val="5B8927DD"/>
    <w:rsid w:val="5B8E36FB"/>
    <w:rsid w:val="5B977066"/>
    <w:rsid w:val="5B9E0ECC"/>
    <w:rsid w:val="5B9E711E"/>
    <w:rsid w:val="5BA30ADC"/>
    <w:rsid w:val="5BB13669"/>
    <w:rsid w:val="5BC0190C"/>
    <w:rsid w:val="5BC025B1"/>
    <w:rsid w:val="5BCC3C8B"/>
    <w:rsid w:val="5BD62CAE"/>
    <w:rsid w:val="5BDB3ECE"/>
    <w:rsid w:val="5BF40312"/>
    <w:rsid w:val="5C052CF9"/>
    <w:rsid w:val="5C0B2ADE"/>
    <w:rsid w:val="5C46356C"/>
    <w:rsid w:val="5C5C4D19"/>
    <w:rsid w:val="5C6C2D78"/>
    <w:rsid w:val="5C714010"/>
    <w:rsid w:val="5C7358C5"/>
    <w:rsid w:val="5C797646"/>
    <w:rsid w:val="5CB12E81"/>
    <w:rsid w:val="5CD66444"/>
    <w:rsid w:val="5CDE306E"/>
    <w:rsid w:val="5CDF7602"/>
    <w:rsid w:val="5CE43D98"/>
    <w:rsid w:val="5D135B2F"/>
    <w:rsid w:val="5D284EF1"/>
    <w:rsid w:val="5D3970FE"/>
    <w:rsid w:val="5D4E4EF4"/>
    <w:rsid w:val="5D5D6FA4"/>
    <w:rsid w:val="5D6602A1"/>
    <w:rsid w:val="5D6857A9"/>
    <w:rsid w:val="5DA327CA"/>
    <w:rsid w:val="5DA779BA"/>
    <w:rsid w:val="5DE30E18"/>
    <w:rsid w:val="5DF055A2"/>
    <w:rsid w:val="5DFC07A6"/>
    <w:rsid w:val="5DFC342A"/>
    <w:rsid w:val="5DFE5C52"/>
    <w:rsid w:val="5E023B7E"/>
    <w:rsid w:val="5E2A6A47"/>
    <w:rsid w:val="5E4D601E"/>
    <w:rsid w:val="5E563CE0"/>
    <w:rsid w:val="5E636240"/>
    <w:rsid w:val="5E662A20"/>
    <w:rsid w:val="5E68756F"/>
    <w:rsid w:val="5E736640"/>
    <w:rsid w:val="5E7B3747"/>
    <w:rsid w:val="5E7C7C0F"/>
    <w:rsid w:val="5E7D74BF"/>
    <w:rsid w:val="5E865693"/>
    <w:rsid w:val="5E93283E"/>
    <w:rsid w:val="5EAC56AE"/>
    <w:rsid w:val="5EB34C8F"/>
    <w:rsid w:val="5EB800F0"/>
    <w:rsid w:val="5EC40C4A"/>
    <w:rsid w:val="5EE32E88"/>
    <w:rsid w:val="5EEA72F8"/>
    <w:rsid w:val="5EF22D7B"/>
    <w:rsid w:val="5EF57055"/>
    <w:rsid w:val="5F047C1E"/>
    <w:rsid w:val="5F076D88"/>
    <w:rsid w:val="5F1476F4"/>
    <w:rsid w:val="5F1C6CD8"/>
    <w:rsid w:val="5F2538D9"/>
    <w:rsid w:val="5F262022"/>
    <w:rsid w:val="5F2B4177"/>
    <w:rsid w:val="5F3D6BFE"/>
    <w:rsid w:val="5F3F4774"/>
    <w:rsid w:val="5F592D75"/>
    <w:rsid w:val="5F5E109E"/>
    <w:rsid w:val="5F5F5550"/>
    <w:rsid w:val="5F6E448A"/>
    <w:rsid w:val="5F775CBC"/>
    <w:rsid w:val="5F8328B3"/>
    <w:rsid w:val="5F903222"/>
    <w:rsid w:val="5FC6175F"/>
    <w:rsid w:val="5FE5531C"/>
    <w:rsid w:val="5FEB66AA"/>
    <w:rsid w:val="5FF15F2D"/>
    <w:rsid w:val="5FF66AC6"/>
    <w:rsid w:val="60006806"/>
    <w:rsid w:val="600F4147"/>
    <w:rsid w:val="601A27A4"/>
    <w:rsid w:val="601B2AEB"/>
    <w:rsid w:val="603242D9"/>
    <w:rsid w:val="603E67DA"/>
    <w:rsid w:val="60521D46"/>
    <w:rsid w:val="605E0D56"/>
    <w:rsid w:val="606C2510"/>
    <w:rsid w:val="60912DAE"/>
    <w:rsid w:val="60AA0313"/>
    <w:rsid w:val="60AE5C99"/>
    <w:rsid w:val="60BC310E"/>
    <w:rsid w:val="610A2B60"/>
    <w:rsid w:val="610E08DB"/>
    <w:rsid w:val="61221415"/>
    <w:rsid w:val="61265EFC"/>
    <w:rsid w:val="61330309"/>
    <w:rsid w:val="61442516"/>
    <w:rsid w:val="61642270"/>
    <w:rsid w:val="617A5F38"/>
    <w:rsid w:val="617E0582"/>
    <w:rsid w:val="61855CD5"/>
    <w:rsid w:val="61A610F3"/>
    <w:rsid w:val="61A84853"/>
    <w:rsid w:val="61AE32A4"/>
    <w:rsid w:val="61C947C9"/>
    <w:rsid w:val="61C977F1"/>
    <w:rsid w:val="61D5316E"/>
    <w:rsid w:val="61D70C94"/>
    <w:rsid w:val="61E50BF5"/>
    <w:rsid w:val="61E67129"/>
    <w:rsid w:val="61EA4E6B"/>
    <w:rsid w:val="62141EE8"/>
    <w:rsid w:val="621912AD"/>
    <w:rsid w:val="62340E89"/>
    <w:rsid w:val="62343C67"/>
    <w:rsid w:val="6251645A"/>
    <w:rsid w:val="62545D80"/>
    <w:rsid w:val="62613AA7"/>
    <w:rsid w:val="6267076A"/>
    <w:rsid w:val="627666FF"/>
    <w:rsid w:val="629B43B7"/>
    <w:rsid w:val="62AA0A4B"/>
    <w:rsid w:val="62C80B35"/>
    <w:rsid w:val="62CA6A4B"/>
    <w:rsid w:val="62DE1D71"/>
    <w:rsid w:val="62E8212C"/>
    <w:rsid w:val="62EA15E4"/>
    <w:rsid w:val="62F6339C"/>
    <w:rsid w:val="63160AD1"/>
    <w:rsid w:val="631862D4"/>
    <w:rsid w:val="63346B7D"/>
    <w:rsid w:val="635B74C2"/>
    <w:rsid w:val="635D341B"/>
    <w:rsid w:val="63680E15"/>
    <w:rsid w:val="636E0001"/>
    <w:rsid w:val="6372336A"/>
    <w:rsid w:val="638242E3"/>
    <w:rsid w:val="63912234"/>
    <w:rsid w:val="639C03E7"/>
    <w:rsid w:val="63A96660"/>
    <w:rsid w:val="63BC18B6"/>
    <w:rsid w:val="63BC5EF4"/>
    <w:rsid w:val="63CE60C7"/>
    <w:rsid w:val="63CF6769"/>
    <w:rsid w:val="63DC4C88"/>
    <w:rsid w:val="63E37DC4"/>
    <w:rsid w:val="63E966F4"/>
    <w:rsid w:val="63F62CDC"/>
    <w:rsid w:val="63F7123C"/>
    <w:rsid w:val="63FE4BFE"/>
    <w:rsid w:val="640B21AC"/>
    <w:rsid w:val="641C5084"/>
    <w:rsid w:val="644044BE"/>
    <w:rsid w:val="645F5303"/>
    <w:rsid w:val="646A76C9"/>
    <w:rsid w:val="64756F01"/>
    <w:rsid w:val="648A13A2"/>
    <w:rsid w:val="64BE613B"/>
    <w:rsid w:val="64C23E7D"/>
    <w:rsid w:val="64CF659A"/>
    <w:rsid w:val="651421FF"/>
    <w:rsid w:val="6519007E"/>
    <w:rsid w:val="652B64A0"/>
    <w:rsid w:val="653B7672"/>
    <w:rsid w:val="655200BF"/>
    <w:rsid w:val="655B398A"/>
    <w:rsid w:val="6578453C"/>
    <w:rsid w:val="657B402C"/>
    <w:rsid w:val="6582360D"/>
    <w:rsid w:val="658740D1"/>
    <w:rsid w:val="65900EAD"/>
    <w:rsid w:val="65904F52"/>
    <w:rsid w:val="65943247"/>
    <w:rsid w:val="65B75715"/>
    <w:rsid w:val="65BF216B"/>
    <w:rsid w:val="65E16585"/>
    <w:rsid w:val="65F30067"/>
    <w:rsid w:val="660364FC"/>
    <w:rsid w:val="660960EC"/>
    <w:rsid w:val="66230554"/>
    <w:rsid w:val="66256A3C"/>
    <w:rsid w:val="66287D10"/>
    <w:rsid w:val="662C155A"/>
    <w:rsid w:val="662E4960"/>
    <w:rsid w:val="663A7A43"/>
    <w:rsid w:val="663B6918"/>
    <w:rsid w:val="6646463A"/>
    <w:rsid w:val="664C5696"/>
    <w:rsid w:val="6650370B"/>
    <w:rsid w:val="66560974"/>
    <w:rsid w:val="66595C75"/>
    <w:rsid w:val="6663343E"/>
    <w:rsid w:val="66644AC0"/>
    <w:rsid w:val="666614DA"/>
    <w:rsid w:val="666A2437"/>
    <w:rsid w:val="666D606B"/>
    <w:rsid w:val="66723681"/>
    <w:rsid w:val="667473F9"/>
    <w:rsid w:val="667B0788"/>
    <w:rsid w:val="667C005C"/>
    <w:rsid w:val="66894F55"/>
    <w:rsid w:val="6693050B"/>
    <w:rsid w:val="669C24AC"/>
    <w:rsid w:val="669E7FD2"/>
    <w:rsid w:val="66C72826"/>
    <w:rsid w:val="66F66060"/>
    <w:rsid w:val="67024696"/>
    <w:rsid w:val="67097244"/>
    <w:rsid w:val="67152D4E"/>
    <w:rsid w:val="671E6A1F"/>
    <w:rsid w:val="673F7A07"/>
    <w:rsid w:val="67424E02"/>
    <w:rsid w:val="675D7120"/>
    <w:rsid w:val="67727791"/>
    <w:rsid w:val="67874F0A"/>
    <w:rsid w:val="679057F7"/>
    <w:rsid w:val="67B850C4"/>
    <w:rsid w:val="67C92AE2"/>
    <w:rsid w:val="67CA4DF7"/>
    <w:rsid w:val="67E00E29"/>
    <w:rsid w:val="67F43E53"/>
    <w:rsid w:val="67F86B10"/>
    <w:rsid w:val="67FB7B84"/>
    <w:rsid w:val="68354966"/>
    <w:rsid w:val="683841B4"/>
    <w:rsid w:val="6841241F"/>
    <w:rsid w:val="684279F7"/>
    <w:rsid w:val="68454994"/>
    <w:rsid w:val="686533B0"/>
    <w:rsid w:val="68680C6F"/>
    <w:rsid w:val="68692862"/>
    <w:rsid w:val="68AF162F"/>
    <w:rsid w:val="68C33D20"/>
    <w:rsid w:val="68CF0842"/>
    <w:rsid w:val="68CF6D05"/>
    <w:rsid w:val="68D75A1D"/>
    <w:rsid w:val="68EE7D94"/>
    <w:rsid w:val="68F24139"/>
    <w:rsid w:val="690E2ED1"/>
    <w:rsid w:val="691B590A"/>
    <w:rsid w:val="692D42A9"/>
    <w:rsid w:val="695928D6"/>
    <w:rsid w:val="69696C80"/>
    <w:rsid w:val="69747710"/>
    <w:rsid w:val="69762B41"/>
    <w:rsid w:val="699060DF"/>
    <w:rsid w:val="69B0699A"/>
    <w:rsid w:val="69B12BD9"/>
    <w:rsid w:val="69B813AB"/>
    <w:rsid w:val="69C52CD2"/>
    <w:rsid w:val="69D8330B"/>
    <w:rsid w:val="69F64364"/>
    <w:rsid w:val="6A114F5F"/>
    <w:rsid w:val="6A18009C"/>
    <w:rsid w:val="6A3B3D8A"/>
    <w:rsid w:val="6A4A0223"/>
    <w:rsid w:val="6A5E47B9"/>
    <w:rsid w:val="6A633A0D"/>
    <w:rsid w:val="6A86215E"/>
    <w:rsid w:val="6A876FCF"/>
    <w:rsid w:val="6A9E7BB5"/>
    <w:rsid w:val="6AB2229E"/>
    <w:rsid w:val="6AC06167"/>
    <w:rsid w:val="6AE16007"/>
    <w:rsid w:val="6AE6019A"/>
    <w:rsid w:val="6B2A277C"/>
    <w:rsid w:val="6B2C2051"/>
    <w:rsid w:val="6B524347"/>
    <w:rsid w:val="6B5C3AE5"/>
    <w:rsid w:val="6B797260"/>
    <w:rsid w:val="6B80414A"/>
    <w:rsid w:val="6B807DF4"/>
    <w:rsid w:val="6B87197D"/>
    <w:rsid w:val="6B8A4FC9"/>
    <w:rsid w:val="6B9B2D32"/>
    <w:rsid w:val="6B9B2EA8"/>
    <w:rsid w:val="6BA12CEA"/>
    <w:rsid w:val="6BB04B7E"/>
    <w:rsid w:val="6BB27228"/>
    <w:rsid w:val="6BB362CE"/>
    <w:rsid w:val="6BB602A1"/>
    <w:rsid w:val="6BB71132"/>
    <w:rsid w:val="6BC2108F"/>
    <w:rsid w:val="6BC8789F"/>
    <w:rsid w:val="6BC95AF1"/>
    <w:rsid w:val="6BDD159D"/>
    <w:rsid w:val="6BE249D3"/>
    <w:rsid w:val="6BEE5558"/>
    <w:rsid w:val="6BF1329A"/>
    <w:rsid w:val="6BFB3C3E"/>
    <w:rsid w:val="6C07475F"/>
    <w:rsid w:val="6C0C3C30"/>
    <w:rsid w:val="6C0E1756"/>
    <w:rsid w:val="6C110BC3"/>
    <w:rsid w:val="6C250955"/>
    <w:rsid w:val="6C367531"/>
    <w:rsid w:val="6C397254"/>
    <w:rsid w:val="6C3A3AEB"/>
    <w:rsid w:val="6C501D6F"/>
    <w:rsid w:val="6C506A41"/>
    <w:rsid w:val="6C5F1FB2"/>
    <w:rsid w:val="6C661592"/>
    <w:rsid w:val="6C6C3961"/>
    <w:rsid w:val="6C7672FB"/>
    <w:rsid w:val="6C891725"/>
    <w:rsid w:val="6C9500C9"/>
    <w:rsid w:val="6C9854C4"/>
    <w:rsid w:val="6C9A0CB5"/>
    <w:rsid w:val="6CA34594"/>
    <w:rsid w:val="6CBA368C"/>
    <w:rsid w:val="6CBE13CE"/>
    <w:rsid w:val="6CD02EB0"/>
    <w:rsid w:val="6CD209D6"/>
    <w:rsid w:val="6CDA788A"/>
    <w:rsid w:val="6CEC2592"/>
    <w:rsid w:val="6CF0202E"/>
    <w:rsid w:val="6CF44DF0"/>
    <w:rsid w:val="6D0C4D97"/>
    <w:rsid w:val="6D154D66"/>
    <w:rsid w:val="6D4C5D1C"/>
    <w:rsid w:val="6D516C60"/>
    <w:rsid w:val="6D7D7E43"/>
    <w:rsid w:val="6D800432"/>
    <w:rsid w:val="6D8C44B4"/>
    <w:rsid w:val="6D8F68C7"/>
    <w:rsid w:val="6D9D7236"/>
    <w:rsid w:val="6DAC7479"/>
    <w:rsid w:val="6DAE1443"/>
    <w:rsid w:val="6DB94F9F"/>
    <w:rsid w:val="6DD11EE7"/>
    <w:rsid w:val="6DD137CA"/>
    <w:rsid w:val="6DD8201C"/>
    <w:rsid w:val="6DE50BDD"/>
    <w:rsid w:val="6DFA386F"/>
    <w:rsid w:val="6DFF3A4C"/>
    <w:rsid w:val="6E0919EA"/>
    <w:rsid w:val="6E1B7E27"/>
    <w:rsid w:val="6E3B4566"/>
    <w:rsid w:val="6E3C0935"/>
    <w:rsid w:val="6E3D4575"/>
    <w:rsid w:val="6E492F1A"/>
    <w:rsid w:val="6E5042A8"/>
    <w:rsid w:val="6E507A1D"/>
    <w:rsid w:val="6E724C0C"/>
    <w:rsid w:val="6E810905"/>
    <w:rsid w:val="6E96635A"/>
    <w:rsid w:val="6E9D6807"/>
    <w:rsid w:val="6EA2087C"/>
    <w:rsid w:val="6EBA5BC5"/>
    <w:rsid w:val="6ECB7DD2"/>
    <w:rsid w:val="6ED70525"/>
    <w:rsid w:val="6EDD785F"/>
    <w:rsid w:val="6EEF486A"/>
    <w:rsid w:val="6F19624E"/>
    <w:rsid w:val="6F1C418A"/>
    <w:rsid w:val="6F6D0E8A"/>
    <w:rsid w:val="6F767D3E"/>
    <w:rsid w:val="6F7C5A5F"/>
    <w:rsid w:val="6F973B5E"/>
    <w:rsid w:val="6FBB1BF5"/>
    <w:rsid w:val="6FBB39A3"/>
    <w:rsid w:val="6FC16A30"/>
    <w:rsid w:val="6FC65ED9"/>
    <w:rsid w:val="6FCE7B7A"/>
    <w:rsid w:val="6FD35191"/>
    <w:rsid w:val="6FDB0FB3"/>
    <w:rsid w:val="6FE23626"/>
    <w:rsid w:val="6FED0BCE"/>
    <w:rsid w:val="6FFE2656"/>
    <w:rsid w:val="700F0193"/>
    <w:rsid w:val="70114852"/>
    <w:rsid w:val="70182BA3"/>
    <w:rsid w:val="701D28B0"/>
    <w:rsid w:val="70205EFC"/>
    <w:rsid w:val="70280900"/>
    <w:rsid w:val="702A31C8"/>
    <w:rsid w:val="702E374D"/>
    <w:rsid w:val="703D260A"/>
    <w:rsid w:val="705F6642"/>
    <w:rsid w:val="70877D29"/>
    <w:rsid w:val="70A87E74"/>
    <w:rsid w:val="70A95908"/>
    <w:rsid w:val="70CE6D21"/>
    <w:rsid w:val="70F84783"/>
    <w:rsid w:val="713559D7"/>
    <w:rsid w:val="71546E04"/>
    <w:rsid w:val="71582EEC"/>
    <w:rsid w:val="71630796"/>
    <w:rsid w:val="71650413"/>
    <w:rsid w:val="717958C4"/>
    <w:rsid w:val="719426FE"/>
    <w:rsid w:val="71A643C5"/>
    <w:rsid w:val="71A83A58"/>
    <w:rsid w:val="71A861A9"/>
    <w:rsid w:val="71B27028"/>
    <w:rsid w:val="71B96608"/>
    <w:rsid w:val="71C34D91"/>
    <w:rsid w:val="71CD0B09"/>
    <w:rsid w:val="72026398"/>
    <w:rsid w:val="720A29C0"/>
    <w:rsid w:val="72161365"/>
    <w:rsid w:val="72221A64"/>
    <w:rsid w:val="72253C9E"/>
    <w:rsid w:val="722717C4"/>
    <w:rsid w:val="722A3062"/>
    <w:rsid w:val="7251239D"/>
    <w:rsid w:val="72874010"/>
    <w:rsid w:val="72C842CA"/>
    <w:rsid w:val="72EC0317"/>
    <w:rsid w:val="72F21DD2"/>
    <w:rsid w:val="72F61E84"/>
    <w:rsid w:val="73021314"/>
    <w:rsid w:val="73045661"/>
    <w:rsid w:val="730B69EF"/>
    <w:rsid w:val="73151766"/>
    <w:rsid w:val="7318735E"/>
    <w:rsid w:val="732D3BFC"/>
    <w:rsid w:val="734D1075"/>
    <w:rsid w:val="735C274F"/>
    <w:rsid w:val="73733E51"/>
    <w:rsid w:val="73852C46"/>
    <w:rsid w:val="738D053C"/>
    <w:rsid w:val="739E5AB6"/>
    <w:rsid w:val="73DC1B76"/>
    <w:rsid w:val="73EB05CF"/>
    <w:rsid w:val="73F97190"/>
    <w:rsid w:val="7419338E"/>
    <w:rsid w:val="742B6ECF"/>
    <w:rsid w:val="745443C6"/>
    <w:rsid w:val="74597410"/>
    <w:rsid w:val="74602D6B"/>
    <w:rsid w:val="7474112B"/>
    <w:rsid w:val="7480340D"/>
    <w:rsid w:val="74A85687"/>
    <w:rsid w:val="74AC4202"/>
    <w:rsid w:val="74C652C4"/>
    <w:rsid w:val="74EE481B"/>
    <w:rsid w:val="75063912"/>
    <w:rsid w:val="750E09D5"/>
    <w:rsid w:val="75114065"/>
    <w:rsid w:val="75295853"/>
    <w:rsid w:val="753213D9"/>
    <w:rsid w:val="7565385A"/>
    <w:rsid w:val="75840CDB"/>
    <w:rsid w:val="758C31F5"/>
    <w:rsid w:val="75980F1E"/>
    <w:rsid w:val="75A276DE"/>
    <w:rsid w:val="75B43910"/>
    <w:rsid w:val="75BE5F9B"/>
    <w:rsid w:val="75F220E9"/>
    <w:rsid w:val="75F61E17"/>
    <w:rsid w:val="75F76C73"/>
    <w:rsid w:val="75FE2085"/>
    <w:rsid w:val="763015A9"/>
    <w:rsid w:val="7641097A"/>
    <w:rsid w:val="7670748A"/>
    <w:rsid w:val="768D3BBF"/>
    <w:rsid w:val="769F26FD"/>
    <w:rsid w:val="76A57D0C"/>
    <w:rsid w:val="76C45833"/>
    <w:rsid w:val="76D67314"/>
    <w:rsid w:val="76E70E68"/>
    <w:rsid w:val="76ED668E"/>
    <w:rsid w:val="76F722CF"/>
    <w:rsid w:val="76F854DD"/>
    <w:rsid w:val="77011569"/>
    <w:rsid w:val="771026DC"/>
    <w:rsid w:val="77483E1E"/>
    <w:rsid w:val="775F37AE"/>
    <w:rsid w:val="779A4EA5"/>
    <w:rsid w:val="779C055E"/>
    <w:rsid w:val="77A345CB"/>
    <w:rsid w:val="77AE3DED"/>
    <w:rsid w:val="77B07DC0"/>
    <w:rsid w:val="77B238DE"/>
    <w:rsid w:val="77C57439"/>
    <w:rsid w:val="77C763EF"/>
    <w:rsid w:val="77CC131E"/>
    <w:rsid w:val="77D26DA3"/>
    <w:rsid w:val="77F139EF"/>
    <w:rsid w:val="77FB6536"/>
    <w:rsid w:val="780B7492"/>
    <w:rsid w:val="78604246"/>
    <w:rsid w:val="7871418A"/>
    <w:rsid w:val="78811502"/>
    <w:rsid w:val="788B5F63"/>
    <w:rsid w:val="789D27E0"/>
    <w:rsid w:val="78A26D7A"/>
    <w:rsid w:val="78A86DC2"/>
    <w:rsid w:val="78E75A1E"/>
    <w:rsid w:val="78F543CA"/>
    <w:rsid w:val="78FA619E"/>
    <w:rsid w:val="790772E0"/>
    <w:rsid w:val="791D747D"/>
    <w:rsid w:val="791F207D"/>
    <w:rsid w:val="79242070"/>
    <w:rsid w:val="79297BCF"/>
    <w:rsid w:val="792C39B5"/>
    <w:rsid w:val="792C3B64"/>
    <w:rsid w:val="79336F24"/>
    <w:rsid w:val="7947274B"/>
    <w:rsid w:val="79496FA5"/>
    <w:rsid w:val="794E7636"/>
    <w:rsid w:val="795E5F42"/>
    <w:rsid w:val="79884916"/>
    <w:rsid w:val="798E2008"/>
    <w:rsid w:val="799139C7"/>
    <w:rsid w:val="79955265"/>
    <w:rsid w:val="79D336AC"/>
    <w:rsid w:val="79E50163"/>
    <w:rsid w:val="79F9736C"/>
    <w:rsid w:val="7A077F60"/>
    <w:rsid w:val="7A1012C2"/>
    <w:rsid w:val="7A1D4300"/>
    <w:rsid w:val="7A1F474B"/>
    <w:rsid w:val="7A335A87"/>
    <w:rsid w:val="7A3F35A9"/>
    <w:rsid w:val="7A596CDF"/>
    <w:rsid w:val="7A7A4A3E"/>
    <w:rsid w:val="7A7C5081"/>
    <w:rsid w:val="7A8206B4"/>
    <w:rsid w:val="7A8353BD"/>
    <w:rsid w:val="7A861C68"/>
    <w:rsid w:val="7A995229"/>
    <w:rsid w:val="7A9E283F"/>
    <w:rsid w:val="7ABE3788"/>
    <w:rsid w:val="7ACD2E65"/>
    <w:rsid w:val="7AD37DE1"/>
    <w:rsid w:val="7ADE1AB9"/>
    <w:rsid w:val="7AEA7832"/>
    <w:rsid w:val="7B18439F"/>
    <w:rsid w:val="7B30793B"/>
    <w:rsid w:val="7B3D5BB4"/>
    <w:rsid w:val="7B6167B8"/>
    <w:rsid w:val="7B651268"/>
    <w:rsid w:val="7B9F7223"/>
    <w:rsid w:val="7BB75966"/>
    <w:rsid w:val="7BBF6F52"/>
    <w:rsid w:val="7BCE127E"/>
    <w:rsid w:val="7BD209F2"/>
    <w:rsid w:val="7BD46BA0"/>
    <w:rsid w:val="7C191868"/>
    <w:rsid w:val="7C1C7EBF"/>
    <w:rsid w:val="7C2157C5"/>
    <w:rsid w:val="7C2D79D7"/>
    <w:rsid w:val="7C300D55"/>
    <w:rsid w:val="7C3477F6"/>
    <w:rsid w:val="7C3879CF"/>
    <w:rsid w:val="7C507B69"/>
    <w:rsid w:val="7C52743D"/>
    <w:rsid w:val="7C6B49A3"/>
    <w:rsid w:val="7C782783"/>
    <w:rsid w:val="7CBE4AD3"/>
    <w:rsid w:val="7CC04CEF"/>
    <w:rsid w:val="7CD262A7"/>
    <w:rsid w:val="7CEF1130"/>
    <w:rsid w:val="7CF66114"/>
    <w:rsid w:val="7CFE75C5"/>
    <w:rsid w:val="7D1C624B"/>
    <w:rsid w:val="7D2E1E01"/>
    <w:rsid w:val="7D367EF2"/>
    <w:rsid w:val="7D450D50"/>
    <w:rsid w:val="7D510965"/>
    <w:rsid w:val="7D567303"/>
    <w:rsid w:val="7D5E0064"/>
    <w:rsid w:val="7D767C17"/>
    <w:rsid w:val="7D821FA4"/>
    <w:rsid w:val="7D8536ED"/>
    <w:rsid w:val="7DAF48C5"/>
    <w:rsid w:val="7DC240B7"/>
    <w:rsid w:val="7DC5742E"/>
    <w:rsid w:val="7DCC65E0"/>
    <w:rsid w:val="7DCE6F97"/>
    <w:rsid w:val="7DD10836"/>
    <w:rsid w:val="7DD6409E"/>
    <w:rsid w:val="7DD7527D"/>
    <w:rsid w:val="7DE57BC5"/>
    <w:rsid w:val="7DFF53A3"/>
    <w:rsid w:val="7E094BEB"/>
    <w:rsid w:val="7E110532"/>
    <w:rsid w:val="7E3F2818"/>
    <w:rsid w:val="7E5779BF"/>
    <w:rsid w:val="7E736A03"/>
    <w:rsid w:val="7E8B6C36"/>
    <w:rsid w:val="7E8B73CE"/>
    <w:rsid w:val="7E957AB5"/>
    <w:rsid w:val="7ECD724F"/>
    <w:rsid w:val="7EEA2D69"/>
    <w:rsid w:val="7EF23159"/>
    <w:rsid w:val="7EF26CB5"/>
    <w:rsid w:val="7EF50554"/>
    <w:rsid w:val="7EFF79DD"/>
    <w:rsid w:val="7F3D1EEF"/>
    <w:rsid w:val="7F427C3D"/>
    <w:rsid w:val="7F63160A"/>
    <w:rsid w:val="7F663ACA"/>
    <w:rsid w:val="7F6F47AA"/>
    <w:rsid w:val="7F72303A"/>
    <w:rsid w:val="7F8C4BC8"/>
    <w:rsid w:val="7F914720"/>
    <w:rsid w:val="7FA371BC"/>
    <w:rsid w:val="7FD6090C"/>
    <w:rsid w:val="7FDD5BB8"/>
    <w:rsid w:val="7FE22AE3"/>
    <w:rsid w:val="7FE44850"/>
    <w:rsid w:val="7FFDFD8F"/>
    <w:rsid w:val="7FFE6AEF"/>
    <w:rsid w:val="FFBF0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ind w:firstLine="21" w:firstLineChars="200"/>
    </w:pPr>
    <w:rPr>
      <w:rFonts w:ascii="Times New Roman" w:hAnsi="Times New Roman" w:eastAsia="宋体" w:cs="Times New Roman"/>
      <w:lang w:val="en-US" w:eastAsia="zh-CN" w:bidi="ar-SA"/>
    </w:rPr>
  </w:style>
  <w:style w:type="paragraph" w:styleId="3">
    <w:name w:val="heading 1"/>
    <w:basedOn w:val="1"/>
    <w:next w:val="1"/>
    <w:autoRedefine/>
    <w:qFormat/>
    <w:uiPriority w:val="0"/>
    <w:pPr>
      <w:spacing w:beforeAutospacing="1" w:afterAutospacing="1"/>
      <w:outlineLvl w:val="0"/>
    </w:pPr>
    <w:rPr>
      <w:rFonts w:hint="eastAsia" w:ascii="宋体" w:hAnsi="宋体"/>
      <w:b/>
      <w:bCs/>
      <w:kern w:val="44"/>
      <w:sz w:val="48"/>
      <w:szCs w:val="48"/>
    </w:rPr>
  </w:style>
  <w:style w:type="paragraph" w:styleId="4">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semiHidden/>
    <w:unhideWhenUsed/>
    <w:qFormat/>
    <w:uiPriority w:val="99"/>
    <w:pPr>
      <w:spacing w:after="120"/>
    </w:pPr>
  </w:style>
  <w:style w:type="paragraph" w:styleId="5">
    <w:name w:val="footer"/>
    <w:basedOn w:val="1"/>
    <w:autoRedefine/>
    <w:qFormat/>
    <w:uiPriority w:val="0"/>
    <w:pPr>
      <w:tabs>
        <w:tab w:val="center" w:pos="4153"/>
        <w:tab w:val="right" w:pos="8306"/>
      </w:tabs>
      <w:snapToGrid w:val="0"/>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pPr>
    <w:rPr>
      <w:sz w:val="24"/>
    </w:rPr>
  </w:style>
  <w:style w:type="character" w:styleId="10">
    <w:name w:val="Strong"/>
    <w:basedOn w:val="9"/>
    <w:autoRedefine/>
    <w:qFormat/>
    <w:uiPriority w:val="0"/>
    <w:rPr>
      <w:b/>
    </w:rPr>
  </w:style>
  <w:style w:type="character" w:styleId="11">
    <w:name w:val="page number"/>
    <w:basedOn w:val="9"/>
    <w:autoRedefine/>
    <w:qFormat/>
    <w:uiPriority w:val="0"/>
  </w:style>
  <w:style w:type="character" w:styleId="12">
    <w:name w:val="Hyperlink"/>
    <w:basedOn w:val="9"/>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chart" Target="charts/chart10.xml"/><Relationship Id="rId20" Type="http://schemas.openxmlformats.org/officeDocument/2006/relationships/chart" Target="charts/chart9.xml"/><Relationship Id="rId2" Type="http://schemas.openxmlformats.org/officeDocument/2006/relationships/settings" Target="settings.xml"/><Relationship Id="rId19" Type="http://schemas.openxmlformats.org/officeDocument/2006/relationships/chart" Target="charts/chart8.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Huawei\Desktop\2025&#24180;7&#26376;&#20221;&#20215;&#26684;&#36208;&#21183;&#22270;.xlsx" TargetMode="External"/></Relationships>
</file>

<file path=word/charts/_rels/chart10.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Huawei\Desktop\2025&#24180;7&#26376;&#20221;&#20215;&#26684;&#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Huawei\Desktop\2025&#24180;7&#26376;&#20221;&#20215;&#26684;&#36208;&#21183;&#2227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Huawei\Desktop\2025&#24180;7&#26376;&#20221;&#20215;&#26684;&#36208;&#21183;&#2227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Huawei\Desktop\2025&#24180;7&#26376;&#20221;&#20215;&#26684;&#36208;&#21183;&#2227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Huawei\Desktop\2025&#24180;7&#26376;&#20221;&#20215;&#26684;&#36208;&#21183;&#2227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Huawei\Desktop\2025&#24180;7&#26376;&#20221;&#20215;&#26684;&#36208;&#21183;&#2227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C:\Users\Huawei\Desktop\2025&#24180;7&#26376;&#20221;&#20215;&#26684;&#36208;&#21183;&#22270;.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Huawei\Desktop\2025&#24180;7&#26376;&#20221;&#20215;&#26684;&#36208;&#21183;&#22270;.xlsx"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C:\Users\Huawei\Desktop\2025&#24180;7&#26376;&#20221;&#20215;&#26684;&#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榆林市混煤价格走势图</a:t>
            </a:r>
          </a:p>
        </c:rich>
      </c:tx>
      <c:layout>
        <c:manualLayout>
          <c:xMode val="edge"/>
          <c:yMode val="edge"/>
          <c:x val="0.337967241892544"/>
          <c:y val="0.00746640119462419"/>
        </c:manualLayout>
      </c:layout>
      <c:overlay val="0"/>
      <c:spPr>
        <a:noFill/>
        <a:ln>
          <a:noFill/>
        </a:ln>
        <a:effectLst/>
      </c:spPr>
    </c:title>
    <c:autoTitleDeleted val="0"/>
    <c:plotArea>
      <c:layout>
        <c:manualLayout>
          <c:layoutTarget val="inner"/>
          <c:xMode val="edge"/>
          <c:yMode val="edge"/>
          <c:x val="0.0666269794023098"/>
          <c:y val="0.173735977155308"/>
          <c:w val="0.907712172790234"/>
          <c:h val="0.392463768115942"/>
        </c:manualLayout>
      </c:layout>
      <c:lineChart>
        <c:grouping val="standard"/>
        <c:varyColors val="0"/>
        <c:ser>
          <c:idx val="0"/>
          <c:order val="0"/>
          <c:tx>
            <c:strRef>
              <c:f>[2025年7月份价格走势图.xlsx]Sheet1!$A$102:$B$102</c:f>
              <c:strCache>
                <c:ptCount val="1"/>
                <c:pt idx="0">
                  <c:v>混煤 元/吨</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numRef>
              <c:f>[2025年7月份价格走势图.xlsx]Sheet1!$C$101:$O$101</c:f>
              <c:numCache>
                <c:formatCode>yyyy"年"m"月"</c:formatCode>
                <c:ptCount val="13"/>
                <c:pt idx="0" c:formatCode="yyyy&quot;年&quot;m&quot;月&quot;">
                  <c:v>45474</c:v>
                </c:pt>
                <c:pt idx="1" c:formatCode="yyyy&quot;年&quot;m&quot;月&quot;">
                  <c:v>45505</c:v>
                </c:pt>
                <c:pt idx="2" c:formatCode="yyyy&quot;年&quot;m&quot;月&quot;">
                  <c:v>45536</c:v>
                </c:pt>
                <c:pt idx="3" c:formatCode="yyyy&quot;年&quot;m&quot;月&quot;">
                  <c:v>45566</c:v>
                </c:pt>
                <c:pt idx="4" c:formatCode="yyyy&quot;年&quot;m&quot;月&quot;">
                  <c:v>45597</c:v>
                </c:pt>
                <c:pt idx="5" c:formatCode="yyyy&quot;年&quot;m&quot;月&quot;">
                  <c:v>45627</c:v>
                </c:pt>
                <c:pt idx="6" c:formatCode="yyyy&quot;年&quot;m&quot;月&quot;">
                  <c:v>45658</c:v>
                </c:pt>
                <c:pt idx="7" c:formatCode="yyyy&quot;年&quot;m&quot;月&quot;">
                  <c:v>45689</c:v>
                </c:pt>
                <c:pt idx="8" c:formatCode="yyyy&quot;年&quot;m&quot;月&quot;">
                  <c:v>45717</c:v>
                </c:pt>
                <c:pt idx="9" c:formatCode="yyyy&quot;年&quot;m&quot;月&quot;">
                  <c:v>45748</c:v>
                </c:pt>
                <c:pt idx="10" c:formatCode="yyyy&quot;年&quot;m&quot;月&quot;">
                  <c:v>45778</c:v>
                </c:pt>
                <c:pt idx="11" c:formatCode="yyyy&quot;年&quot;m&quot;月&quot;">
                  <c:v>45809</c:v>
                </c:pt>
                <c:pt idx="12" c:formatCode="yyyy&quot;年&quot;m&quot;月&quot;">
                  <c:v>45839</c:v>
                </c:pt>
              </c:numCache>
            </c:numRef>
          </c:cat>
          <c:val>
            <c:numRef>
              <c:f>[2025年7月份价格走势图.xlsx]Sheet1!$C$102:$O$102</c:f>
              <c:numCache>
                <c:formatCode>General</c:formatCode>
                <c:ptCount val="13"/>
                <c:pt idx="0">
                  <c:v>712</c:v>
                </c:pt>
                <c:pt idx="1">
                  <c:v>703</c:v>
                </c:pt>
                <c:pt idx="2">
                  <c:v>702</c:v>
                </c:pt>
                <c:pt idx="3">
                  <c:v>712</c:v>
                </c:pt>
                <c:pt idx="4">
                  <c:v>710</c:v>
                </c:pt>
                <c:pt idx="5">
                  <c:v>651</c:v>
                </c:pt>
                <c:pt idx="6">
                  <c:v>629</c:v>
                </c:pt>
                <c:pt idx="7">
                  <c:v>594</c:v>
                </c:pt>
                <c:pt idx="8">
                  <c:v>514</c:v>
                </c:pt>
                <c:pt idx="9">
                  <c:v>518</c:v>
                </c:pt>
                <c:pt idx="10">
                  <c:v>493</c:v>
                </c:pt>
                <c:pt idx="11">
                  <c:v>460</c:v>
                </c:pt>
                <c:pt idx="12">
                  <c:v>481</c:v>
                </c:pt>
              </c:numCache>
            </c:numRef>
          </c:val>
          <c:smooth val="0"/>
        </c:ser>
        <c:dLbls>
          <c:showLegendKey val="0"/>
          <c:showVal val="0"/>
          <c:showCatName val="0"/>
          <c:showSerName val="0"/>
          <c:showPercent val="0"/>
          <c:showBubbleSize val="0"/>
        </c:dLbls>
        <c:marker val="1"/>
        <c:smooth val="0"/>
        <c:axId val="365562622"/>
        <c:axId val="780065485"/>
      </c:lineChart>
      <c:dateAx>
        <c:axId val="365562622"/>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0065485"/>
        <c:crosses val="autoZero"/>
        <c:auto val="1"/>
        <c:lblOffset val="100"/>
        <c:baseTimeUnit val="months"/>
      </c:dateAx>
      <c:valAx>
        <c:axId val="780065485"/>
        <c:scaling>
          <c:orientation val="minMax"/>
          <c:max val="1000"/>
          <c:min val="3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5562622"/>
        <c:crosses val="autoZero"/>
        <c:crossBetween val="between"/>
      </c:valAx>
      <c:spPr>
        <a:noFill/>
        <a:ln>
          <a:noFill/>
        </a:ln>
        <a:effectLst/>
      </c:spPr>
    </c:plotArea>
    <c:legend>
      <c:legendPos val="b"/>
      <c:layout>
        <c:manualLayout>
          <c:xMode val="edge"/>
          <c:yMode val="edge"/>
          <c:x val="0.419963619827194"/>
          <c:y val="0.860266666666667"/>
          <c:w val="0.160072760345612"/>
          <c:h val="0.083466666666666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de8dfa0-ba77-4d6a-bc87-c722d8693bd0}"/>
      </c:ext>
    </c:extLst>
  </c:chart>
  <c:spPr>
    <a:solidFill>
      <a:schemeClr val="bg1"/>
    </a:solidFill>
    <a:ln w="9525" cap="flat" cmpd="sng" algn="ctr">
      <a:solidFill>
        <a:schemeClr val="accent1"/>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榆林市兰炭价格走势图</a:t>
            </a:r>
          </a:p>
        </c:rich>
      </c:tx>
      <c:layout/>
      <c:overlay val="0"/>
      <c:spPr>
        <a:noFill/>
        <a:ln>
          <a:noFill/>
        </a:ln>
        <a:effectLst/>
      </c:spPr>
    </c:title>
    <c:autoTitleDeleted val="0"/>
    <c:plotArea>
      <c:layout/>
      <c:lineChart>
        <c:grouping val="standard"/>
        <c:varyColors val="0"/>
        <c:ser>
          <c:idx val="0"/>
          <c:order val="0"/>
          <c:tx>
            <c:strRef>
              <c:f>[2025年7月份价格走势图.xlsx]Sheet1!$A$97:$B$97</c:f>
              <c:strCache>
                <c:ptCount val="1"/>
                <c:pt idx="0">
                  <c:v>兰炭 元/吨</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numRef>
              <c:f>[2025年7月份价格走势图.xlsx]Sheet1!$C$96:$O$96</c:f>
              <c:numCache>
                <c:formatCode>yyyy"年"m"月"</c:formatCode>
                <c:ptCount val="13"/>
                <c:pt idx="0" c:formatCode="yyyy&quot;年&quot;m&quot;月&quot;">
                  <c:v>45474</c:v>
                </c:pt>
                <c:pt idx="1" c:formatCode="yyyy&quot;年&quot;m&quot;月&quot;">
                  <c:v>45505</c:v>
                </c:pt>
                <c:pt idx="2" c:formatCode="yyyy&quot;年&quot;m&quot;月&quot;">
                  <c:v>45536</c:v>
                </c:pt>
                <c:pt idx="3" c:formatCode="yyyy&quot;年&quot;m&quot;月&quot;">
                  <c:v>45566</c:v>
                </c:pt>
                <c:pt idx="4" c:formatCode="yyyy&quot;年&quot;m&quot;月&quot;">
                  <c:v>45597</c:v>
                </c:pt>
                <c:pt idx="5" c:formatCode="yyyy&quot;年&quot;m&quot;月&quot;">
                  <c:v>45627</c:v>
                </c:pt>
                <c:pt idx="6" c:formatCode="yyyy&quot;年&quot;m&quot;月&quot;">
                  <c:v>45658</c:v>
                </c:pt>
                <c:pt idx="7" c:formatCode="yyyy&quot;年&quot;m&quot;月&quot;">
                  <c:v>45689</c:v>
                </c:pt>
                <c:pt idx="8" c:formatCode="yyyy&quot;年&quot;m&quot;月&quot;">
                  <c:v>45717</c:v>
                </c:pt>
                <c:pt idx="9" c:formatCode="yyyy&quot;年&quot;m&quot;月&quot;">
                  <c:v>45748</c:v>
                </c:pt>
                <c:pt idx="10" c:formatCode="yyyy&quot;年&quot;m&quot;月&quot;">
                  <c:v>45778</c:v>
                </c:pt>
                <c:pt idx="11" c:formatCode="yyyy&quot;年&quot;m&quot;月&quot;">
                  <c:v>45809</c:v>
                </c:pt>
                <c:pt idx="12" c:formatCode="yyyy&quot;年&quot;m&quot;月&quot;">
                  <c:v>45839</c:v>
                </c:pt>
              </c:numCache>
            </c:numRef>
          </c:cat>
          <c:val>
            <c:numRef>
              <c:f>[2025年7月份价格走势图.xlsx]Sheet1!$C$97:$O$97</c:f>
              <c:numCache>
                <c:formatCode>General</c:formatCode>
                <c:ptCount val="13"/>
                <c:pt idx="0">
                  <c:v>875</c:v>
                </c:pt>
                <c:pt idx="1">
                  <c:v>875</c:v>
                </c:pt>
                <c:pt idx="2">
                  <c:v>890</c:v>
                </c:pt>
                <c:pt idx="3">
                  <c:v>940</c:v>
                </c:pt>
                <c:pt idx="4">
                  <c:v>940</c:v>
                </c:pt>
                <c:pt idx="5">
                  <c:v>860</c:v>
                </c:pt>
                <c:pt idx="6">
                  <c:v>790</c:v>
                </c:pt>
                <c:pt idx="7">
                  <c:v>740</c:v>
                </c:pt>
                <c:pt idx="8">
                  <c:v>570</c:v>
                </c:pt>
                <c:pt idx="9">
                  <c:v>615</c:v>
                </c:pt>
                <c:pt idx="10">
                  <c:v>615</c:v>
                </c:pt>
                <c:pt idx="11">
                  <c:v>615</c:v>
                </c:pt>
                <c:pt idx="12">
                  <c:v>580</c:v>
                </c:pt>
              </c:numCache>
            </c:numRef>
          </c:val>
          <c:smooth val="0"/>
        </c:ser>
        <c:dLbls>
          <c:showLegendKey val="0"/>
          <c:showVal val="0"/>
          <c:showCatName val="0"/>
          <c:showSerName val="0"/>
          <c:showPercent val="0"/>
          <c:showBubbleSize val="0"/>
        </c:dLbls>
        <c:marker val="1"/>
        <c:smooth val="0"/>
        <c:axId val="760052129"/>
        <c:axId val="860806462"/>
      </c:lineChart>
      <c:dateAx>
        <c:axId val="76005212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0806462"/>
        <c:crosses val="autoZero"/>
        <c:auto val="1"/>
        <c:lblOffset val="100"/>
        <c:baseTimeUnit val="months"/>
      </c:dateAx>
      <c:valAx>
        <c:axId val="860806462"/>
        <c:scaling>
          <c:orientation val="minMax"/>
          <c:max val="1500"/>
          <c:min val="5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005212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413bfbc-42e6-4df9-837e-da86e00e9cd5}"/>
      </c:ext>
    </c:extLst>
  </c:chart>
  <c:spPr>
    <a:solidFill>
      <a:schemeClr val="bg1"/>
    </a:solidFill>
    <a:ln w="9525" cap="flat" cmpd="sng" algn="ctr">
      <a:solidFill>
        <a:schemeClr val="accent1"/>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榆林市成品油价格走势图</a:t>
            </a:r>
          </a:p>
        </c:rich>
      </c:tx>
      <c:layout/>
      <c:overlay val="0"/>
      <c:spPr>
        <a:noFill/>
        <a:ln>
          <a:noFill/>
        </a:ln>
        <a:effectLst/>
      </c:spPr>
    </c:title>
    <c:autoTitleDeleted val="0"/>
    <c:plotArea>
      <c:layout>
        <c:manualLayout>
          <c:layoutTarget val="inner"/>
          <c:xMode val="edge"/>
          <c:yMode val="edge"/>
          <c:x val="0.0744072114444829"/>
          <c:y val="0.161213279197516"/>
          <c:w val="0.899725651577269"/>
          <c:h val="0.526725579173633"/>
        </c:manualLayout>
      </c:layout>
      <c:lineChart>
        <c:grouping val="standard"/>
        <c:varyColors val="0"/>
        <c:ser>
          <c:idx val="0"/>
          <c:order val="0"/>
          <c:tx>
            <c:strRef>
              <c:f>[2025年7月份价格走势图.xlsx]Sheet1!$A$3:$B$3</c:f>
              <c:strCache>
                <c:ptCount val="1"/>
                <c:pt idx="0">
                  <c:v>汽油92# 元/升</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multiLvlStrRef>
              <c:f>[2025年7月份价格走势图.xlsx]Sheet1!$C$1:$O$2</c:f>
              <c:multiLvlStrCache>
                <c:ptCount val="13"/>
                <c:lvl>
                  <c:pt idx="0" c:formatCode="yyyy&quot;年&quot;m&quot;月&quot;">
                    <c:v>45474</c:v>
                  </c:pt>
                  <c:pt idx="1" c:formatCode="yyyy&quot;年&quot;m&quot;月&quot;">
                    <c:v>45505</c:v>
                  </c:pt>
                  <c:pt idx="2" c:formatCode="yyyy&quot;年&quot;m&quot;月&quot;">
                    <c:v>45536</c:v>
                  </c:pt>
                  <c:pt idx="3" c:formatCode="yyyy&quot;年&quot;m&quot;月&quot;">
                    <c:v>45566</c:v>
                  </c:pt>
                  <c:pt idx="4" c:formatCode="yyyy&quot;年&quot;m&quot;月&quot;">
                    <c:v>45597</c:v>
                  </c:pt>
                  <c:pt idx="5" c:formatCode="yyyy&quot;年&quot;m&quot;月&quot;">
                    <c:v>45627</c:v>
                  </c:pt>
                  <c:pt idx="6" c:formatCode="yyyy&quot;年&quot;m&quot;月&quot;">
                    <c:v>45658</c:v>
                  </c:pt>
                  <c:pt idx="7" c:formatCode="yyyy&quot;年&quot;m&quot;月&quot;">
                    <c:v>45689</c:v>
                  </c:pt>
                  <c:pt idx="8" c:formatCode="yyyy&quot;年&quot;m&quot;月&quot;">
                    <c:v>45717</c:v>
                  </c:pt>
                  <c:pt idx="9" c:formatCode="yyyy&quot;年&quot;m&quot;月&quot;">
                    <c:v>45748</c:v>
                  </c:pt>
                  <c:pt idx="10" c:formatCode="yyyy&quot;年&quot;m&quot;月&quot;">
                    <c:v>45778</c:v>
                  </c:pt>
                  <c:pt idx="11" c:formatCode="yyyy&quot;年&quot;m&quot;月&quot;">
                    <c:v>45809</c:v>
                  </c:pt>
                  <c:pt idx="12" c:formatCode="yyyy&quot;年&quot;m&quot;月&quot;">
                    <c:v>45839</c:v>
                  </c:pt>
                </c:lvl>
                <c:lvl/>
              </c:multiLvlStrCache>
            </c:multiLvlStrRef>
          </c:cat>
          <c:val>
            <c:numRef>
              <c:f>[2025年7月份价格走势图.xlsx]Sheet1!$C$3:$O$3</c:f>
              <c:numCache>
                <c:formatCode>0.00_);[Red]\(0.00\)</c:formatCode>
                <c:ptCount val="13"/>
                <c:pt idx="0">
                  <c:v>7.92</c:v>
                </c:pt>
                <c:pt idx="1">
                  <c:v>7.75</c:v>
                </c:pt>
                <c:pt idx="2">
                  <c:v>7.48</c:v>
                </c:pt>
                <c:pt idx="3">
                  <c:v>7.36</c:v>
                </c:pt>
                <c:pt idx="4">
                  <c:v>7.39</c:v>
                </c:pt>
                <c:pt idx="5">
                  <c:v>7.33</c:v>
                </c:pt>
                <c:pt idx="6">
                  <c:v>7.45</c:v>
                </c:pt>
                <c:pt idx="7">
                  <c:v>7.59</c:v>
                </c:pt>
                <c:pt idx="8">
                  <c:v>7.37</c:v>
                </c:pt>
                <c:pt idx="9">
                  <c:v>7.18</c:v>
                </c:pt>
                <c:pt idx="10">
                  <c:v>6.9</c:v>
                </c:pt>
                <c:pt idx="11">
                  <c:v>6.91</c:v>
                </c:pt>
                <c:pt idx="12">
                  <c:v>7.2</c:v>
                </c:pt>
              </c:numCache>
            </c:numRef>
          </c:val>
          <c:smooth val="0"/>
        </c:ser>
        <c:ser>
          <c:idx val="1"/>
          <c:order val="1"/>
          <c:tx>
            <c:strRef>
              <c:f>[2025年7月份价格走势图.xlsx]Sheet1!$A$4:$B$4</c:f>
              <c:strCache>
                <c:ptCount val="1"/>
                <c:pt idx="0">
                  <c:v>汽油95# 元/升</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elete val="1"/>
          </c:dLbls>
          <c:cat>
            <c:multiLvlStrRef>
              <c:f>[2025年7月份价格走势图.xlsx]Sheet1!$C$1:$O$2</c:f>
              <c:multiLvlStrCache>
                <c:ptCount val="13"/>
                <c:lvl>
                  <c:pt idx="0" c:formatCode="yyyy&quot;年&quot;m&quot;月&quot;">
                    <c:v>45474</c:v>
                  </c:pt>
                  <c:pt idx="1" c:formatCode="yyyy&quot;年&quot;m&quot;月&quot;">
                    <c:v>45505</c:v>
                  </c:pt>
                  <c:pt idx="2" c:formatCode="yyyy&quot;年&quot;m&quot;月&quot;">
                    <c:v>45536</c:v>
                  </c:pt>
                  <c:pt idx="3" c:formatCode="yyyy&quot;年&quot;m&quot;月&quot;">
                    <c:v>45566</c:v>
                  </c:pt>
                  <c:pt idx="4" c:formatCode="yyyy&quot;年&quot;m&quot;月&quot;">
                    <c:v>45597</c:v>
                  </c:pt>
                  <c:pt idx="5" c:formatCode="yyyy&quot;年&quot;m&quot;月&quot;">
                    <c:v>45627</c:v>
                  </c:pt>
                  <c:pt idx="6" c:formatCode="yyyy&quot;年&quot;m&quot;月&quot;">
                    <c:v>45658</c:v>
                  </c:pt>
                  <c:pt idx="7" c:formatCode="yyyy&quot;年&quot;m&quot;月&quot;">
                    <c:v>45689</c:v>
                  </c:pt>
                  <c:pt idx="8" c:formatCode="yyyy&quot;年&quot;m&quot;月&quot;">
                    <c:v>45717</c:v>
                  </c:pt>
                  <c:pt idx="9" c:formatCode="yyyy&quot;年&quot;m&quot;月&quot;">
                    <c:v>45748</c:v>
                  </c:pt>
                  <c:pt idx="10" c:formatCode="yyyy&quot;年&quot;m&quot;月&quot;">
                    <c:v>45778</c:v>
                  </c:pt>
                  <c:pt idx="11" c:formatCode="yyyy&quot;年&quot;m&quot;月&quot;">
                    <c:v>45809</c:v>
                  </c:pt>
                  <c:pt idx="12" c:formatCode="yyyy&quot;年&quot;m&quot;月&quot;">
                    <c:v>45839</c:v>
                  </c:pt>
                </c:lvl>
                <c:lvl/>
              </c:multiLvlStrCache>
            </c:multiLvlStrRef>
          </c:cat>
          <c:val>
            <c:numRef>
              <c:f>[2025年7月份价格走势图.xlsx]Sheet1!$C$4:$O$4</c:f>
              <c:numCache>
                <c:formatCode>0.00_);[Red]\(0.00\)</c:formatCode>
                <c:ptCount val="13"/>
                <c:pt idx="0">
                  <c:v>8.37</c:v>
                </c:pt>
                <c:pt idx="1">
                  <c:v>8.19</c:v>
                </c:pt>
                <c:pt idx="2">
                  <c:v>7.9</c:v>
                </c:pt>
                <c:pt idx="3">
                  <c:v>7.63</c:v>
                </c:pt>
                <c:pt idx="4">
                  <c:v>7.8</c:v>
                </c:pt>
                <c:pt idx="5">
                  <c:v>7.74</c:v>
                </c:pt>
                <c:pt idx="6">
                  <c:v>7.88</c:v>
                </c:pt>
                <c:pt idx="7">
                  <c:v>8.02</c:v>
                </c:pt>
                <c:pt idx="8">
                  <c:v>7.79</c:v>
                </c:pt>
                <c:pt idx="9">
                  <c:v>7.59</c:v>
                </c:pt>
                <c:pt idx="10">
                  <c:v>7.29</c:v>
                </c:pt>
                <c:pt idx="11">
                  <c:v>7.3</c:v>
                </c:pt>
                <c:pt idx="12">
                  <c:v>7.61</c:v>
                </c:pt>
              </c:numCache>
            </c:numRef>
          </c:val>
          <c:smooth val="0"/>
        </c:ser>
        <c:ser>
          <c:idx val="2"/>
          <c:order val="2"/>
          <c:tx>
            <c:strRef>
              <c:f>[2025年7月份价格走势图.xlsx]Sheet1!$A$5:$B$5</c:f>
              <c:strCache>
                <c:ptCount val="1"/>
                <c:pt idx="0">
                  <c:v>柴油0# 元/升</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elete val="1"/>
          </c:dLbls>
          <c:cat>
            <c:multiLvlStrRef>
              <c:f>[2025年7月份价格走势图.xlsx]Sheet1!$C$1:$O$2</c:f>
              <c:multiLvlStrCache>
                <c:ptCount val="13"/>
                <c:lvl>
                  <c:pt idx="0" c:formatCode="yyyy&quot;年&quot;m&quot;月&quot;">
                    <c:v>45474</c:v>
                  </c:pt>
                  <c:pt idx="1" c:formatCode="yyyy&quot;年&quot;m&quot;月&quot;">
                    <c:v>45505</c:v>
                  </c:pt>
                  <c:pt idx="2" c:formatCode="yyyy&quot;年&quot;m&quot;月&quot;">
                    <c:v>45536</c:v>
                  </c:pt>
                  <c:pt idx="3" c:formatCode="yyyy&quot;年&quot;m&quot;月&quot;">
                    <c:v>45566</c:v>
                  </c:pt>
                  <c:pt idx="4" c:formatCode="yyyy&quot;年&quot;m&quot;月&quot;">
                    <c:v>45597</c:v>
                  </c:pt>
                  <c:pt idx="5" c:formatCode="yyyy&quot;年&quot;m&quot;月&quot;">
                    <c:v>45627</c:v>
                  </c:pt>
                  <c:pt idx="6" c:formatCode="yyyy&quot;年&quot;m&quot;月&quot;">
                    <c:v>45658</c:v>
                  </c:pt>
                  <c:pt idx="7" c:formatCode="yyyy&quot;年&quot;m&quot;月&quot;">
                    <c:v>45689</c:v>
                  </c:pt>
                  <c:pt idx="8" c:formatCode="yyyy&quot;年&quot;m&quot;月&quot;">
                    <c:v>45717</c:v>
                  </c:pt>
                  <c:pt idx="9" c:formatCode="yyyy&quot;年&quot;m&quot;月&quot;">
                    <c:v>45748</c:v>
                  </c:pt>
                  <c:pt idx="10" c:formatCode="yyyy&quot;年&quot;m&quot;月&quot;">
                    <c:v>45778</c:v>
                  </c:pt>
                  <c:pt idx="11" c:formatCode="yyyy&quot;年&quot;m&quot;月&quot;">
                    <c:v>45809</c:v>
                  </c:pt>
                  <c:pt idx="12" c:formatCode="yyyy&quot;年&quot;m&quot;月&quot;">
                    <c:v>45839</c:v>
                  </c:pt>
                </c:lvl>
                <c:lvl/>
              </c:multiLvlStrCache>
            </c:multiLvlStrRef>
          </c:cat>
          <c:val>
            <c:numRef>
              <c:f>[2025年7月份价格走势图.xlsx]Sheet1!$C$5:$O$5</c:f>
              <c:numCache>
                <c:formatCode>0.00_ </c:formatCode>
                <c:ptCount val="13"/>
                <c:pt idx="0">
                  <c:v>7.79</c:v>
                </c:pt>
                <c:pt idx="1">
                  <c:v>7.6</c:v>
                </c:pt>
                <c:pt idx="2">
                  <c:v>7.32</c:v>
                </c:pt>
                <c:pt idx="3">
                  <c:v>7.19</c:v>
                </c:pt>
                <c:pt idx="4">
                  <c:v>7.22</c:v>
                </c:pt>
                <c:pt idx="5">
                  <c:v>7.16</c:v>
                </c:pt>
                <c:pt idx="6">
                  <c:v>7.29</c:v>
                </c:pt>
                <c:pt idx="7">
                  <c:v>7.43</c:v>
                </c:pt>
                <c:pt idx="8">
                  <c:v>7.21</c:v>
                </c:pt>
                <c:pt idx="9">
                  <c:v>7.01</c:v>
                </c:pt>
                <c:pt idx="10">
                  <c:v>6.72</c:v>
                </c:pt>
                <c:pt idx="11">
                  <c:v>6.73</c:v>
                </c:pt>
                <c:pt idx="12">
                  <c:v>7.03</c:v>
                </c:pt>
              </c:numCache>
            </c:numRef>
          </c:val>
          <c:smooth val="0"/>
        </c:ser>
        <c:dLbls>
          <c:showLegendKey val="0"/>
          <c:showVal val="0"/>
          <c:showCatName val="0"/>
          <c:showSerName val="0"/>
          <c:showPercent val="0"/>
          <c:showBubbleSize val="0"/>
        </c:dLbls>
        <c:marker val="1"/>
        <c:smooth val="0"/>
        <c:axId val="63419614"/>
        <c:axId val="660455080"/>
      </c:lineChart>
      <c:catAx>
        <c:axId val="6341961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0455080"/>
        <c:crosses val="autoZero"/>
        <c:auto val="1"/>
        <c:lblAlgn val="ctr"/>
        <c:lblOffset val="100"/>
        <c:noMultiLvlLbl val="0"/>
      </c:catAx>
      <c:valAx>
        <c:axId val="660455080"/>
        <c:scaling>
          <c:orientation val="minMax"/>
          <c:max val="9"/>
          <c:min val="5"/>
        </c:scaling>
        <c:delete val="0"/>
        <c:axPos val="l"/>
        <c:majorGridlines>
          <c:spPr>
            <a:ln w="9525" cap="flat" cmpd="sng" algn="ctr">
              <a:solidFill>
                <a:schemeClr val="tx1">
                  <a:lumMod val="15000"/>
                  <a:lumOff val="85000"/>
                </a:schemeClr>
              </a:solidFill>
              <a:round/>
            </a:ln>
            <a:effectLst/>
          </c:spPr>
        </c:majorGridlines>
        <c:numFmt formatCode="0.00_);[Red]\(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419614"/>
        <c:crosses val="autoZero"/>
        <c:crossBetween val="between"/>
        <c:majorUnit val="0.3"/>
        <c:minorUnit val="0.1"/>
      </c:valAx>
      <c:spPr>
        <a:noFill/>
        <a:ln>
          <a:noFill/>
        </a:ln>
        <a:effectLst/>
      </c:spPr>
    </c:plotArea>
    <c:legend>
      <c:legendPos val="b"/>
      <c:layout>
        <c:manualLayout>
          <c:xMode val="edge"/>
          <c:yMode val="edge"/>
          <c:x val="0.220977243848908"/>
          <c:y val="0.919629487461644"/>
          <c:w val="0.558045512302183"/>
          <c:h val="0.072479928635147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f8aba65-4364-4dec-85a8-0d6064e30094}"/>
      </c:ext>
    </c:extLst>
  </c:chart>
  <c:spPr>
    <a:solidFill>
      <a:schemeClr val="bg1"/>
    </a:solidFill>
    <a:ln w="9525" cap="flat" cmpd="sng" algn="ctr">
      <a:solidFill>
        <a:schemeClr val="accent1"/>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榆林市聚氯乙烯、聚乙烯、聚丙烯价格走势图</a:t>
            </a:r>
          </a:p>
        </c:rich>
      </c:tx>
      <c:layout/>
      <c:overlay val="0"/>
      <c:spPr>
        <a:noFill/>
        <a:ln>
          <a:noFill/>
        </a:ln>
        <a:effectLst/>
      </c:spPr>
    </c:title>
    <c:autoTitleDeleted val="0"/>
    <c:plotArea>
      <c:layout>
        <c:manualLayout>
          <c:layoutTarget val="inner"/>
          <c:xMode val="edge"/>
          <c:yMode val="edge"/>
          <c:x val="0.0760846684598293"/>
          <c:y val="0.156817003628823"/>
          <c:w val="0.90520406969945"/>
          <c:h val="0.493882840850181"/>
        </c:manualLayout>
      </c:layout>
      <c:lineChart>
        <c:grouping val="standard"/>
        <c:varyColors val="0"/>
        <c:ser>
          <c:idx val="0"/>
          <c:order val="0"/>
          <c:tx>
            <c:strRef>
              <c:f>[2025年7月份价格走势图.xlsx]Sheet1!$A$31:$B$31</c:f>
              <c:strCache>
                <c:ptCount val="1"/>
                <c:pt idx="0">
                  <c:v>聚氯乙烯 元/吨</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numRef>
              <c:f>[2025年7月份价格走势图.xlsx]Sheet1!$C$30:$O$30</c:f>
              <c:numCache>
                <c:formatCode>yyyy"年"m"月"</c:formatCode>
                <c:ptCount val="13"/>
                <c:pt idx="0" c:formatCode="yyyy&quot;年&quot;m&quot;月&quot;">
                  <c:v>45474</c:v>
                </c:pt>
                <c:pt idx="1" c:formatCode="yyyy&quot;年&quot;m&quot;月&quot;">
                  <c:v>45505</c:v>
                </c:pt>
                <c:pt idx="2" c:formatCode="yyyy&quot;年&quot;m&quot;月&quot;">
                  <c:v>45536</c:v>
                </c:pt>
                <c:pt idx="3" c:formatCode="yyyy&quot;年&quot;m&quot;月&quot;">
                  <c:v>45566</c:v>
                </c:pt>
                <c:pt idx="4" c:formatCode="yyyy&quot;年&quot;m&quot;月&quot;">
                  <c:v>45597</c:v>
                </c:pt>
                <c:pt idx="5" c:formatCode="yyyy&quot;年&quot;m&quot;月&quot;">
                  <c:v>45627</c:v>
                </c:pt>
                <c:pt idx="6" c:formatCode="yyyy&quot;年&quot;m&quot;月&quot;">
                  <c:v>45658</c:v>
                </c:pt>
                <c:pt idx="7" c:formatCode="yyyy&quot;年&quot;m&quot;月&quot;">
                  <c:v>45689</c:v>
                </c:pt>
                <c:pt idx="8" c:formatCode="yyyy&quot;年&quot;m&quot;月&quot;">
                  <c:v>45717</c:v>
                </c:pt>
                <c:pt idx="9" c:formatCode="yyyy&quot;年&quot;m&quot;月&quot;">
                  <c:v>45748</c:v>
                </c:pt>
                <c:pt idx="10" c:formatCode="yyyy&quot;年&quot;m&quot;月&quot;">
                  <c:v>45778</c:v>
                </c:pt>
                <c:pt idx="11" c:formatCode="yyyy&quot;年&quot;m&quot;月&quot;">
                  <c:v>45809</c:v>
                </c:pt>
                <c:pt idx="12" c:formatCode="yyyy&quot;年&quot;m&quot;月&quot;">
                  <c:v>45839</c:v>
                </c:pt>
              </c:numCache>
            </c:numRef>
          </c:cat>
          <c:val>
            <c:numRef>
              <c:f>[2025年7月份价格走势图.xlsx]Sheet1!$C$31:$O$31</c:f>
              <c:numCache>
                <c:formatCode>General</c:formatCode>
                <c:ptCount val="13"/>
                <c:pt idx="0">
                  <c:v>5689</c:v>
                </c:pt>
                <c:pt idx="1">
                  <c:v>5540</c:v>
                </c:pt>
                <c:pt idx="2">
                  <c:v>5365</c:v>
                </c:pt>
                <c:pt idx="3">
                  <c:v>5353</c:v>
                </c:pt>
                <c:pt idx="4">
                  <c:v>5410</c:v>
                </c:pt>
                <c:pt idx="5">
                  <c:v>5120</c:v>
                </c:pt>
                <c:pt idx="6">
                  <c:v>5004</c:v>
                </c:pt>
                <c:pt idx="7">
                  <c:v>4911</c:v>
                </c:pt>
                <c:pt idx="8">
                  <c:v>4947</c:v>
                </c:pt>
                <c:pt idx="9">
                  <c:v>4841</c:v>
                </c:pt>
                <c:pt idx="10">
                  <c:v>4712</c:v>
                </c:pt>
                <c:pt idx="11">
                  <c:v>4634</c:v>
                </c:pt>
                <c:pt idx="12">
                  <c:v>4713</c:v>
                </c:pt>
              </c:numCache>
            </c:numRef>
          </c:val>
          <c:smooth val="0"/>
        </c:ser>
        <c:ser>
          <c:idx val="1"/>
          <c:order val="1"/>
          <c:tx>
            <c:strRef>
              <c:f>[2025年7月份价格走势图.xlsx]Sheet1!$A$32:$B$32</c:f>
              <c:strCache>
                <c:ptCount val="1"/>
                <c:pt idx="0">
                  <c:v>聚乙烯 元/吨</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elete val="1"/>
          </c:dLbls>
          <c:cat>
            <c:numRef>
              <c:f>[2025年7月份价格走势图.xlsx]Sheet1!$C$30:$O$30</c:f>
              <c:numCache>
                <c:formatCode>yyyy"年"m"月"</c:formatCode>
                <c:ptCount val="13"/>
                <c:pt idx="0" c:formatCode="yyyy&quot;年&quot;m&quot;月&quot;">
                  <c:v>45474</c:v>
                </c:pt>
                <c:pt idx="1" c:formatCode="yyyy&quot;年&quot;m&quot;月&quot;">
                  <c:v>45505</c:v>
                </c:pt>
                <c:pt idx="2" c:formatCode="yyyy&quot;年&quot;m&quot;月&quot;">
                  <c:v>45536</c:v>
                </c:pt>
                <c:pt idx="3" c:formatCode="yyyy&quot;年&quot;m&quot;月&quot;">
                  <c:v>45566</c:v>
                </c:pt>
                <c:pt idx="4" c:formatCode="yyyy&quot;年&quot;m&quot;月&quot;">
                  <c:v>45597</c:v>
                </c:pt>
                <c:pt idx="5" c:formatCode="yyyy&quot;年&quot;m&quot;月&quot;">
                  <c:v>45627</c:v>
                </c:pt>
                <c:pt idx="6" c:formatCode="yyyy&quot;年&quot;m&quot;月&quot;">
                  <c:v>45658</c:v>
                </c:pt>
                <c:pt idx="7" c:formatCode="yyyy&quot;年&quot;m&quot;月&quot;">
                  <c:v>45689</c:v>
                </c:pt>
                <c:pt idx="8" c:formatCode="yyyy&quot;年&quot;m&quot;月&quot;">
                  <c:v>45717</c:v>
                </c:pt>
                <c:pt idx="9" c:formatCode="yyyy&quot;年&quot;m&quot;月&quot;">
                  <c:v>45748</c:v>
                </c:pt>
                <c:pt idx="10" c:formatCode="yyyy&quot;年&quot;m&quot;月&quot;">
                  <c:v>45778</c:v>
                </c:pt>
                <c:pt idx="11" c:formatCode="yyyy&quot;年&quot;m&quot;月&quot;">
                  <c:v>45809</c:v>
                </c:pt>
                <c:pt idx="12" c:formatCode="yyyy&quot;年&quot;m&quot;月&quot;">
                  <c:v>45839</c:v>
                </c:pt>
              </c:numCache>
            </c:numRef>
          </c:cat>
          <c:val>
            <c:numRef>
              <c:f>[2025年7月份价格走势图.xlsx]Sheet1!$C$32:$O$32</c:f>
              <c:numCache>
                <c:formatCode>General</c:formatCode>
                <c:ptCount val="13"/>
                <c:pt idx="0">
                  <c:v>8069</c:v>
                </c:pt>
                <c:pt idx="1">
                  <c:v>7869</c:v>
                </c:pt>
                <c:pt idx="2">
                  <c:v>7766</c:v>
                </c:pt>
                <c:pt idx="3">
                  <c:v>8051</c:v>
                </c:pt>
                <c:pt idx="4">
                  <c:v>8159</c:v>
                </c:pt>
                <c:pt idx="5">
                  <c:v>8400</c:v>
                </c:pt>
                <c:pt idx="6">
                  <c:v>8302</c:v>
                </c:pt>
                <c:pt idx="7">
                  <c:v>7694</c:v>
                </c:pt>
                <c:pt idx="8">
                  <c:v>7477</c:v>
                </c:pt>
                <c:pt idx="9">
                  <c:v>7184</c:v>
                </c:pt>
                <c:pt idx="10">
                  <c:v>6959</c:v>
                </c:pt>
                <c:pt idx="11">
                  <c:v>6905</c:v>
                </c:pt>
                <c:pt idx="12">
                  <c:v>6870</c:v>
                </c:pt>
              </c:numCache>
            </c:numRef>
          </c:val>
          <c:smooth val="0"/>
        </c:ser>
        <c:ser>
          <c:idx val="2"/>
          <c:order val="2"/>
          <c:tx>
            <c:strRef>
              <c:f>[2025年7月份价格走势图.xlsx]Sheet1!$A$33:$B$33</c:f>
              <c:strCache>
                <c:ptCount val="1"/>
                <c:pt idx="0">
                  <c:v>聚丙烯 元/吨</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elete val="1"/>
          </c:dLbls>
          <c:cat>
            <c:numRef>
              <c:f>[2025年7月份价格走势图.xlsx]Sheet1!$C$30:$O$30</c:f>
              <c:numCache>
                <c:formatCode>yyyy"年"m"月"</c:formatCode>
                <c:ptCount val="13"/>
                <c:pt idx="0" c:formatCode="yyyy&quot;年&quot;m&quot;月&quot;">
                  <c:v>45474</c:v>
                </c:pt>
                <c:pt idx="1" c:formatCode="yyyy&quot;年&quot;m&quot;月&quot;">
                  <c:v>45505</c:v>
                </c:pt>
                <c:pt idx="2" c:formatCode="yyyy&quot;年&quot;m&quot;月&quot;">
                  <c:v>45536</c:v>
                </c:pt>
                <c:pt idx="3" c:formatCode="yyyy&quot;年&quot;m&quot;月&quot;">
                  <c:v>45566</c:v>
                </c:pt>
                <c:pt idx="4" c:formatCode="yyyy&quot;年&quot;m&quot;月&quot;">
                  <c:v>45597</c:v>
                </c:pt>
                <c:pt idx="5" c:formatCode="yyyy&quot;年&quot;m&quot;月&quot;">
                  <c:v>45627</c:v>
                </c:pt>
                <c:pt idx="6" c:formatCode="yyyy&quot;年&quot;m&quot;月&quot;">
                  <c:v>45658</c:v>
                </c:pt>
                <c:pt idx="7" c:formatCode="yyyy&quot;年&quot;m&quot;月&quot;">
                  <c:v>45689</c:v>
                </c:pt>
                <c:pt idx="8" c:formatCode="yyyy&quot;年&quot;m&quot;月&quot;">
                  <c:v>45717</c:v>
                </c:pt>
                <c:pt idx="9" c:formatCode="yyyy&quot;年&quot;m&quot;月&quot;">
                  <c:v>45748</c:v>
                </c:pt>
                <c:pt idx="10" c:formatCode="yyyy&quot;年&quot;m&quot;月&quot;">
                  <c:v>45778</c:v>
                </c:pt>
                <c:pt idx="11" c:formatCode="yyyy&quot;年&quot;m&quot;月&quot;">
                  <c:v>45809</c:v>
                </c:pt>
                <c:pt idx="12" c:formatCode="yyyy&quot;年&quot;m&quot;月&quot;">
                  <c:v>45839</c:v>
                </c:pt>
              </c:numCache>
            </c:numRef>
          </c:cat>
          <c:val>
            <c:numRef>
              <c:f>[2025年7月份价格走势图.xlsx]Sheet1!$C$33:$O$33</c:f>
              <c:numCache>
                <c:formatCode>General</c:formatCode>
                <c:ptCount val="13"/>
                <c:pt idx="0">
                  <c:v>7299</c:v>
                </c:pt>
                <c:pt idx="1">
                  <c:v>7241</c:v>
                </c:pt>
                <c:pt idx="2">
                  <c:v>7107</c:v>
                </c:pt>
                <c:pt idx="3">
                  <c:v>7200</c:v>
                </c:pt>
                <c:pt idx="4">
                  <c:v>7114</c:v>
                </c:pt>
                <c:pt idx="5">
                  <c:v>7135</c:v>
                </c:pt>
                <c:pt idx="6">
                  <c:v>7063</c:v>
                </c:pt>
                <c:pt idx="7">
                  <c:v>7004</c:v>
                </c:pt>
                <c:pt idx="8">
                  <c:v>6931</c:v>
                </c:pt>
                <c:pt idx="9">
                  <c:v>6884</c:v>
                </c:pt>
                <c:pt idx="10">
                  <c:v>6819</c:v>
                </c:pt>
                <c:pt idx="11">
                  <c:v>6781</c:v>
                </c:pt>
                <c:pt idx="12">
                  <c:v>6686</c:v>
                </c:pt>
              </c:numCache>
            </c:numRef>
          </c:val>
          <c:smooth val="0"/>
        </c:ser>
        <c:dLbls>
          <c:showLegendKey val="0"/>
          <c:showVal val="0"/>
          <c:showCatName val="0"/>
          <c:showSerName val="0"/>
          <c:showPercent val="0"/>
          <c:showBubbleSize val="0"/>
        </c:dLbls>
        <c:marker val="1"/>
        <c:smooth val="0"/>
        <c:axId val="333289780"/>
        <c:axId val="287027792"/>
      </c:lineChart>
      <c:dateAx>
        <c:axId val="333289780"/>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7027792"/>
        <c:crosses val="autoZero"/>
        <c:auto val="1"/>
        <c:lblOffset val="100"/>
        <c:baseTimeUnit val="months"/>
      </c:dateAx>
      <c:valAx>
        <c:axId val="287027792"/>
        <c:scaling>
          <c:orientation val="minMax"/>
          <c:max val="12000"/>
          <c:min val="4000"/>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3289780"/>
        <c:crosses val="autoZero"/>
        <c:crossBetween val="between"/>
        <c:majorUnit val="1000"/>
        <c:minorUnit val="200"/>
      </c:valAx>
      <c:spPr>
        <a:noFill/>
        <a:ln>
          <a:noFill/>
        </a:ln>
        <a:effectLst/>
      </c:spPr>
    </c:plotArea>
    <c:legend>
      <c:legendPos val="b"/>
      <c:layout>
        <c:manualLayout>
          <c:xMode val="edge"/>
          <c:yMode val="edge"/>
          <c:x val="0.225696418419557"/>
          <c:y val="0.894974740760436"/>
          <c:w val="0.548720864127345"/>
          <c:h val="0.089869715501196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33ce2e3-e2ba-48c3-96ac-d8fcc18b3579}"/>
      </c:ext>
    </c:extLst>
  </c:chart>
  <c:spPr>
    <a:solidFill>
      <a:schemeClr val="bg1"/>
    </a:solidFill>
    <a:ln w="9525" cap="flat" cmpd="sng" algn="ctr">
      <a:solidFill>
        <a:schemeClr val="accent1"/>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榆林市甲醇价格走势图</a:t>
            </a:r>
          </a:p>
        </c:rich>
      </c:tx>
      <c:layout/>
      <c:overlay val="0"/>
      <c:spPr>
        <a:noFill/>
        <a:ln>
          <a:noFill/>
        </a:ln>
        <a:effectLst/>
      </c:spPr>
    </c:title>
    <c:autoTitleDeleted val="0"/>
    <c:plotArea>
      <c:layout/>
      <c:lineChart>
        <c:grouping val="standard"/>
        <c:varyColors val="0"/>
        <c:ser>
          <c:idx val="0"/>
          <c:order val="0"/>
          <c:tx>
            <c:strRef>
              <c:f>[2025年7月份价格走势图.xlsx]Sheet1!$A$12:$B$12</c:f>
              <c:strCache>
                <c:ptCount val="1"/>
                <c:pt idx="0">
                  <c:v>甲醇 元/吨</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numRef>
              <c:f>[2025年7月份价格走势图.xlsx]Sheet1!$C$11:$O$11</c:f>
              <c:numCache>
                <c:formatCode>yyyy"年"m"月"</c:formatCode>
                <c:ptCount val="13"/>
                <c:pt idx="0" c:formatCode="yyyy&quot;年&quot;m&quot;月&quot;">
                  <c:v>45474</c:v>
                </c:pt>
                <c:pt idx="1" c:formatCode="yyyy&quot;年&quot;m&quot;月&quot;">
                  <c:v>45505</c:v>
                </c:pt>
                <c:pt idx="2" c:formatCode="yyyy&quot;年&quot;m&quot;月&quot;">
                  <c:v>45536</c:v>
                </c:pt>
                <c:pt idx="3" c:formatCode="yyyy&quot;年&quot;m&quot;月&quot;">
                  <c:v>45566</c:v>
                </c:pt>
                <c:pt idx="4" c:formatCode="yyyy&quot;年&quot;m&quot;月&quot;">
                  <c:v>45597</c:v>
                </c:pt>
                <c:pt idx="5" c:formatCode="yyyy&quot;年&quot;m&quot;月&quot;">
                  <c:v>45627</c:v>
                </c:pt>
                <c:pt idx="6" c:formatCode="yyyy&quot;年&quot;m&quot;月&quot;">
                  <c:v>45658</c:v>
                </c:pt>
                <c:pt idx="7" c:formatCode="yyyy&quot;年&quot;m&quot;月&quot;">
                  <c:v>45689</c:v>
                </c:pt>
                <c:pt idx="8" c:formatCode="yyyy&quot;年&quot;m&quot;月&quot;">
                  <c:v>45717</c:v>
                </c:pt>
                <c:pt idx="9" c:formatCode="yyyy&quot;年&quot;m&quot;月&quot;">
                  <c:v>45748</c:v>
                </c:pt>
                <c:pt idx="10" c:formatCode="yyyy&quot;年&quot;m&quot;月&quot;">
                  <c:v>45778</c:v>
                </c:pt>
                <c:pt idx="11" c:formatCode="yyyy&quot;年&quot;m&quot;月&quot;">
                  <c:v>45809</c:v>
                </c:pt>
                <c:pt idx="12" c:formatCode="yyyy&quot;年&quot;m&quot;月&quot;">
                  <c:v>45839</c:v>
                </c:pt>
              </c:numCache>
            </c:numRef>
          </c:cat>
          <c:val>
            <c:numRef>
              <c:f>[2025年7月份价格走势图.xlsx]Sheet1!$C$12:$O$12</c:f>
              <c:numCache>
                <c:formatCode>General</c:formatCode>
                <c:ptCount val="13"/>
                <c:pt idx="0">
                  <c:v>2117</c:v>
                </c:pt>
                <c:pt idx="1">
                  <c:v>2100</c:v>
                </c:pt>
                <c:pt idx="2">
                  <c:v>2047</c:v>
                </c:pt>
                <c:pt idx="3">
                  <c:v>1983</c:v>
                </c:pt>
                <c:pt idx="4">
                  <c:v>2020</c:v>
                </c:pt>
                <c:pt idx="5">
                  <c:v>2180</c:v>
                </c:pt>
                <c:pt idx="6">
                  <c:v>2163</c:v>
                </c:pt>
                <c:pt idx="7">
                  <c:v>2097</c:v>
                </c:pt>
                <c:pt idx="8">
                  <c:v>2207</c:v>
                </c:pt>
                <c:pt idx="9">
                  <c:v>2197</c:v>
                </c:pt>
                <c:pt idx="10">
                  <c:v>2047</c:v>
                </c:pt>
                <c:pt idx="11">
                  <c:v>1963</c:v>
                </c:pt>
                <c:pt idx="12">
                  <c:v>2017</c:v>
                </c:pt>
              </c:numCache>
            </c:numRef>
          </c:val>
          <c:smooth val="0"/>
        </c:ser>
        <c:dLbls>
          <c:showLegendKey val="0"/>
          <c:showVal val="0"/>
          <c:showCatName val="0"/>
          <c:showSerName val="0"/>
          <c:showPercent val="0"/>
          <c:showBubbleSize val="0"/>
        </c:dLbls>
        <c:marker val="1"/>
        <c:smooth val="0"/>
        <c:axId val="32513907"/>
        <c:axId val="529921454"/>
      </c:lineChart>
      <c:dateAx>
        <c:axId val="32513907"/>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9921454"/>
        <c:crosses val="autoZero"/>
        <c:auto val="1"/>
        <c:lblOffset val="100"/>
        <c:baseTimeUnit val="months"/>
      </c:dateAx>
      <c:valAx>
        <c:axId val="529921454"/>
        <c:scaling>
          <c:orientation val="minMax"/>
          <c:max val="3600"/>
          <c:min val="1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513907"/>
        <c:crosses val="autoZero"/>
        <c:crossBetween val="between"/>
        <c:majorUnit val="300"/>
        <c:minorUnit val="100"/>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2897e34-b7c7-418a-a4bb-945127770ec8}"/>
      </c:ext>
    </c:extLst>
  </c:chart>
  <c:spPr>
    <a:solidFill>
      <a:schemeClr val="bg1"/>
    </a:solidFill>
    <a:ln w="9525" cap="flat" cmpd="sng" algn="ctr">
      <a:solidFill>
        <a:schemeClr val="accent1"/>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榆林市烧碱价格走势图</a:t>
            </a:r>
          </a:p>
        </c:rich>
      </c:tx>
      <c:layout/>
      <c:overlay val="0"/>
      <c:spPr>
        <a:noFill/>
        <a:ln>
          <a:noFill/>
        </a:ln>
        <a:effectLst/>
      </c:spPr>
    </c:title>
    <c:autoTitleDeleted val="0"/>
    <c:plotArea>
      <c:layout>
        <c:manualLayout>
          <c:layoutTarget val="inner"/>
          <c:xMode val="edge"/>
          <c:yMode val="edge"/>
          <c:x val="0.076003276003276"/>
          <c:y val="0.145418762300459"/>
          <c:w val="0.908201708201708"/>
          <c:h val="0.521626940739121"/>
        </c:manualLayout>
      </c:layout>
      <c:lineChart>
        <c:grouping val="standard"/>
        <c:varyColors val="0"/>
        <c:ser>
          <c:idx val="0"/>
          <c:order val="0"/>
          <c:tx>
            <c:strRef>
              <c:f>[2025年7月份价格走势图.xlsx]Sheet1!$A$42:$B$42</c:f>
              <c:strCache>
                <c:ptCount val="1"/>
                <c:pt idx="0">
                  <c:v>烧碱 元/吨</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numRef>
              <c:f>[2025年7月份价格走势图.xlsx]Sheet1!$C$41:$O$41</c:f>
              <c:numCache>
                <c:formatCode>yyyy"年"m"月"</c:formatCode>
                <c:ptCount val="13"/>
                <c:pt idx="0" c:formatCode="yyyy&quot;年&quot;m&quot;月&quot;">
                  <c:v>45474</c:v>
                </c:pt>
                <c:pt idx="1" c:formatCode="yyyy&quot;年&quot;m&quot;月&quot;">
                  <c:v>45505</c:v>
                </c:pt>
                <c:pt idx="2" c:formatCode="yyyy&quot;年&quot;m&quot;月&quot;">
                  <c:v>45536</c:v>
                </c:pt>
                <c:pt idx="3" c:formatCode="yyyy&quot;年&quot;m&quot;月&quot;">
                  <c:v>45566</c:v>
                </c:pt>
                <c:pt idx="4" c:formatCode="yyyy&quot;年&quot;m&quot;月&quot;">
                  <c:v>45597</c:v>
                </c:pt>
                <c:pt idx="5" c:formatCode="yyyy&quot;年&quot;m&quot;月&quot;">
                  <c:v>45627</c:v>
                </c:pt>
                <c:pt idx="6" c:formatCode="yyyy&quot;年&quot;m&quot;月&quot;">
                  <c:v>45658</c:v>
                </c:pt>
                <c:pt idx="7" c:formatCode="yyyy&quot;年&quot;m&quot;月&quot;">
                  <c:v>45689</c:v>
                </c:pt>
                <c:pt idx="8" c:formatCode="yyyy&quot;年&quot;m&quot;月&quot;">
                  <c:v>45717</c:v>
                </c:pt>
                <c:pt idx="9" c:formatCode="yyyy&quot;年&quot;m&quot;月&quot;">
                  <c:v>45748</c:v>
                </c:pt>
                <c:pt idx="10" c:formatCode="yyyy&quot;年&quot;m&quot;月&quot;">
                  <c:v>45778</c:v>
                </c:pt>
                <c:pt idx="11" c:formatCode="yyyy&quot;年&quot;m&quot;月&quot;">
                  <c:v>45809</c:v>
                </c:pt>
                <c:pt idx="12" c:formatCode="yyyy&quot;年&quot;m&quot;月&quot;">
                  <c:v>45839</c:v>
                </c:pt>
              </c:numCache>
            </c:numRef>
          </c:cat>
          <c:val>
            <c:numRef>
              <c:f>[2025年7月份价格走势图.xlsx]Sheet1!$C$42:$O$42</c:f>
              <c:numCache>
                <c:formatCode>General</c:formatCode>
                <c:ptCount val="13"/>
                <c:pt idx="0">
                  <c:v>841</c:v>
                </c:pt>
                <c:pt idx="1">
                  <c:v>843</c:v>
                </c:pt>
                <c:pt idx="2">
                  <c:v>842</c:v>
                </c:pt>
                <c:pt idx="3">
                  <c:v>870</c:v>
                </c:pt>
                <c:pt idx="4">
                  <c:v>1030</c:v>
                </c:pt>
                <c:pt idx="5">
                  <c:v>987</c:v>
                </c:pt>
                <c:pt idx="6">
                  <c:v>952</c:v>
                </c:pt>
                <c:pt idx="7">
                  <c:v>955</c:v>
                </c:pt>
                <c:pt idx="8">
                  <c:v>1038</c:v>
                </c:pt>
                <c:pt idx="9">
                  <c:v>918</c:v>
                </c:pt>
                <c:pt idx="10">
                  <c:v>954</c:v>
                </c:pt>
                <c:pt idx="11">
                  <c:v>983</c:v>
                </c:pt>
                <c:pt idx="12">
                  <c:v>960</c:v>
                </c:pt>
              </c:numCache>
            </c:numRef>
          </c:val>
          <c:smooth val="0"/>
        </c:ser>
        <c:dLbls>
          <c:showLegendKey val="0"/>
          <c:showVal val="0"/>
          <c:showCatName val="0"/>
          <c:showSerName val="0"/>
          <c:showPercent val="0"/>
          <c:showBubbleSize val="0"/>
        </c:dLbls>
        <c:marker val="1"/>
        <c:smooth val="0"/>
        <c:axId val="326576318"/>
        <c:axId val="320113178"/>
      </c:lineChart>
      <c:dateAx>
        <c:axId val="326576318"/>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0113178"/>
        <c:crosses val="autoZero"/>
        <c:auto val="1"/>
        <c:lblOffset val="100"/>
        <c:baseTimeUnit val="months"/>
      </c:dateAx>
      <c:valAx>
        <c:axId val="320113178"/>
        <c:scaling>
          <c:orientation val="minMax"/>
          <c:max val="1500"/>
          <c:min val="5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6576318"/>
        <c:crosses val="autoZero"/>
        <c:crossBetween val="between"/>
        <c:majorUnit val="100"/>
        <c:minorUnit val="50"/>
      </c:valAx>
      <c:spPr>
        <a:noFill/>
        <a:ln>
          <a:noFill/>
        </a:ln>
        <a:effectLst/>
      </c:spPr>
    </c:plotArea>
    <c:legend>
      <c:legendPos val="b"/>
      <c:layout>
        <c:manualLayout>
          <c:xMode val="edge"/>
          <c:yMode val="edge"/>
          <c:x val="0.417844213476585"/>
          <c:y val="0.911396011396011"/>
          <c:w val="0.164428354548639"/>
          <c:h val="0.078347578347578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56dcc73-df4b-488e-9117-692a883487e2}"/>
      </c:ext>
    </c:extLst>
  </c:chart>
  <c:spPr>
    <a:solidFill>
      <a:schemeClr val="bg1"/>
    </a:solidFill>
    <a:ln w="9525" cap="flat" cmpd="sng" algn="ctr">
      <a:solidFill>
        <a:schemeClr val="accent1"/>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榆林市硅铁价格走势图</a:t>
            </a:r>
          </a:p>
        </c:rich>
      </c:tx>
      <c:layout/>
      <c:overlay val="0"/>
      <c:spPr>
        <a:noFill/>
        <a:ln>
          <a:noFill/>
        </a:ln>
        <a:effectLst/>
      </c:spPr>
    </c:title>
    <c:autoTitleDeleted val="0"/>
    <c:plotArea>
      <c:layout>
        <c:manualLayout>
          <c:layoutTarget val="inner"/>
          <c:xMode val="edge"/>
          <c:yMode val="edge"/>
          <c:x val="0.0666354702854469"/>
          <c:y val="0.195147960543855"/>
          <c:w val="0.900608329433786"/>
          <c:h val="0.38533724340176"/>
        </c:manualLayout>
      </c:layout>
      <c:lineChart>
        <c:grouping val="standard"/>
        <c:varyColors val="0"/>
        <c:ser>
          <c:idx val="0"/>
          <c:order val="0"/>
          <c:tx>
            <c:strRef>
              <c:f>[2025年7月份价格走势图.xlsx]Sheet1!$A$48:$B$48</c:f>
              <c:strCache>
                <c:ptCount val="1"/>
                <c:pt idx="0">
                  <c:v>硅铁 元/吨</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multiLvlStrRef>
              <c:f>[2025年7月份价格走势图.xlsx]Sheet1!$C$46:$O$47</c:f>
              <c:multiLvlStrCache>
                <c:ptCount val="13"/>
                <c:lvl>
                  <c:pt idx="0" c:formatCode="yyyy&quot;年&quot;m&quot;月&quot;">
                    <c:v>45474</c:v>
                  </c:pt>
                  <c:pt idx="1" c:formatCode="yyyy&quot;年&quot;m&quot;月&quot;">
                    <c:v>45505</c:v>
                  </c:pt>
                  <c:pt idx="2" c:formatCode="yyyy&quot;年&quot;m&quot;月&quot;">
                    <c:v>45536</c:v>
                  </c:pt>
                  <c:pt idx="3" c:formatCode="yyyy&quot;年&quot;m&quot;月&quot;">
                    <c:v>45566</c:v>
                  </c:pt>
                  <c:pt idx="4" c:formatCode="yyyy&quot;年&quot;m&quot;月&quot;">
                    <c:v>45597</c:v>
                  </c:pt>
                  <c:pt idx="5" c:formatCode="yyyy&quot;年&quot;m&quot;月&quot;">
                    <c:v>45627</c:v>
                  </c:pt>
                  <c:pt idx="6" c:formatCode="yyyy&quot;年&quot;m&quot;月&quot;">
                    <c:v>45658</c:v>
                  </c:pt>
                  <c:pt idx="7" c:formatCode="yyyy&quot;年&quot;m&quot;月&quot;">
                    <c:v>45689</c:v>
                  </c:pt>
                  <c:pt idx="8" c:formatCode="yyyy&quot;年&quot;m&quot;月&quot;">
                    <c:v>45717</c:v>
                  </c:pt>
                  <c:pt idx="9" c:formatCode="yyyy&quot;年&quot;m&quot;月&quot;">
                    <c:v>45748</c:v>
                  </c:pt>
                  <c:pt idx="10" c:formatCode="yyyy&quot;年&quot;m&quot;月&quot;">
                    <c:v>45778</c:v>
                  </c:pt>
                  <c:pt idx="11" c:formatCode="yyyy&quot;年&quot;m&quot;月&quot;">
                    <c:v>45809</c:v>
                  </c:pt>
                  <c:pt idx="12" c:formatCode="yyyy&quot;年&quot;m&quot;月&quot;">
                    <c:v>45839</c:v>
                  </c:pt>
                </c:lvl>
                <c:lvl/>
              </c:multiLvlStrCache>
            </c:multiLvlStrRef>
          </c:cat>
          <c:val>
            <c:numRef>
              <c:f>[2025年7月份价格走势图.xlsx]Sheet1!$C$48:$O$48</c:f>
              <c:numCache>
                <c:formatCode>General</c:formatCode>
                <c:ptCount val="13"/>
                <c:pt idx="0">
                  <c:v>6500</c:v>
                </c:pt>
                <c:pt idx="1">
                  <c:v>6250</c:v>
                </c:pt>
                <c:pt idx="2">
                  <c:v>5950</c:v>
                </c:pt>
                <c:pt idx="3">
                  <c:v>6150</c:v>
                </c:pt>
                <c:pt idx="4">
                  <c:v>6000</c:v>
                </c:pt>
                <c:pt idx="5">
                  <c:v>5800</c:v>
                </c:pt>
                <c:pt idx="6">
                  <c:v>5900</c:v>
                </c:pt>
                <c:pt idx="7">
                  <c:v>5950</c:v>
                </c:pt>
                <c:pt idx="8">
                  <c:v>5700</c:v>
                </c:pt>
                <c:pt idx="9">
                  <c:v>9700</c:v>
                </c:pt>
                <c:pt idx="10">
                  <c:v>8900</c:v>
                </c:pt>
                <c:pt idx="11">
                  <c:v>8000</c:v>
                </c:pt>
                <c:pt idx="12">
                  <c:v>8900</c:v>
                </c:pt>
              </c:numCache>
            </c:numRef>
          </c:val>
          <c:smooth val="0"/>
        </c:ser>
        <c:dLbls>
          <c:showLegendKey val="0"/>
          <c:showVal val="0"/>
          <c:showCatName val="0"/>
          <c:showSerName val="0"/>
          <c:showPercent val="0"/>
          <c:showBubbleSize val="0"/>
        </c:dLbls>
        <c:marker val="1"/>
        <c:smooth val="0"/>
        <c:axId val="764788432"/>
        <c:axId val="816207999"/>
      </c:lineChart>
      <c:catAx>
        <c:axId val="7647884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6207999"/>
        <c:crosses val="autoZero"/>
        <c:auto val="1"/>
        <c:lblAlgn val="ctr"/>
        <c:lblOffset val="100"/>
        <c:noMultiLvlLbl val="0"/>
      </c:catAx>
      <c:valAx>
        <c:axId val="816207999"/>
        <c:scaling>
          <c:orientation val="minMax"/>
          <c:max val="10000"/>
          <c:min val="2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4788432"/>
        <c:crosses val="autoZero"/>
        <c:crossBetween val="between"/>
        <c:majorUnit val="1000"/>
        <c:minorUnit val="200"/>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d8e72cf-5326-496a-b12d-9c40c5a501a7}"/>
      </c:ext>
    </c:extLst>
  </c:chart>
  <c:spPr>
    <a:solidFill>
      <a:schemeClr val="bg1"/>
    </a:solidFill>
    <a:ln w="9525" cap="flat" cmpd="sng" algn="ctr">
      <a:solidFill>
        <a:schemeClr val="accent1"/>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榆林市金属镁价格走势图</a:t>
            </a:r>
          </a:p>
        </c:rich>
      </c:tx>
      <c:layout/>
      <c:overlay val="0"/>
      <c:spPr>
        <a:noFill/>
        <a:ln>
          <a:noFill/>
        </a:ln>
        <a:effectLst/>
      </c:spPr>
    </c:title>
    <c:autoTitleDeleted val="0"/>
    <c:plotArea>
      <c:layout>
        <c:manualLayout>
          <c:layoutTarget val="inner"/>
          <c:xMode val="edge"/>
          <c:yMode val="edge"/>
          <c:x val="0.0874807532867464"/>
          <c:y val="0.15704457074484"/>
          <c:w val="0.890370721307592"/>
          <c:h val="0.529584205803171"/>
        </c:manualLayout>
      </c:layout>
      <c:lineChart>
        <c:grouping val="standard"/>
        <c:varyColors val="0"/>
        <c:ser>
          <c:idx val="0"/>
          <c:order val="0"/>
          <c:tx>
            <c:strRef>
              <c:f>[2025年7月份价格走势图.xlsx]Sheet1!$A$65:$B$65</c:f>
              <c:strCache>
                <c:ptCount val="1"/>
                <c:pt idx="0">
                  <c:v>金属镁 元/吨</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numRef>
              <c:f>[2025年7月份价格走势图.xlsx]Sheet1!$C$64:$O$64</c:f>
              <c:numCache>
                <c:formatCode>yyyy"年"m"月"</c:formatCode>
                <c:ptCount val="13"/>
                <c:pt idx="0" c:formatCode="yyyy&quot;年&quot;m&quot;月&quot;">
                  <c:v>45474</c:v>
                </c:pt>
                <c:pt idx="1" c:formatCode="yyyy&quot;年&quot;m&quot;月&quot;">
                  <c:v>45505</c:v>
                </c:pt>
                <c:pt idx="2" c:formatCode="yyyy&quot;年&quot;m&quot;月&quot;">
                  <c:v>45536</c:v>
                </c:pt>
                <c:pt idx="3" c:formatCode="yyyy&quot;年&quot;m&quot;月&quot;">
                  <c:v>45566</c:v>
                </c:pt>
                <c:pt idx="4" c:formatCode="yyyy&quot;年&quot;m&quot;月&quot;">
                  <c:v>45597</c:v>
                </c:pt>
                <c:pt idx="5" c:formatCode="yyyy&quot;年&quot;m&quot;月&quot;">
                  <c:v>45627</c:v>
                </c:pt>
                <c:pt idx="6" c:formatCode="yyyy&quot;年&quot;m&quot;月&quot;">
                  <c:v>45658</c:v>
                </c:pt>
                <c:pt idx="7" c:formatCode="yyyy&quot;年&quot;m&quot;月&quot;">
                  <c:v>45689</c:v>
                </c:pt>
                <c:pt idx="8" c:formatCode="yyyy&quot;年&quot;m&quot;月&quot;">
                  <c:v>45717</c:v>
                </c:pt>
                <c:pt idx="9" c:formatCode="yyyy&quot;年&quot;m&quot;月&quot;">
                  <c:v>45748</c:v>
                </c:pt>
                <c:pt idx="10" c:formatCode="yyyy&quot;年&quot;m&quot;月&quot;">
                  <c:v>45778</c:v>
                </c:pt>
                <c:pt idx="11" c:formatCode="yyyy&quot;年&quot;m&quot;月&quot;">
                  <c:v>45809</c:v>
                </c:pt>
                <c:pt idx="12" c:formatCode="yyyy&quot;年&quot;m&quot;月&quot;">
                  <c:v>45839</c:v>
                </c:pt>
              </c:numCache>
            </c:numRef>
          </c:cat>
          <c:val>
            <c:numRef>
              <c:f>[2025年7月份价格走势图.xlsx]Sheet1!$C$65:$O$65</c:f>
              <c:numCache>
                <c:formatCode>General</c:formatCode>
                <c:ptCount val="13"/>
                <c:pt idx="0">
                  <c:v>17750</c:v>
                </c:pt>
                <c:pt idx="1">
                  <c:v>17600</c:v>
                </c:pt>
                <c:pt idx="2">
                  <c:v>17700</c:v>
                </c:pt>
                <c:pt idx="3">
                  <c:v>17550</c:v>
                </c:pt>
                <c:pt idx="4">
                  <c:v>16800</c:v>
                </c:pt>
                <c:pt idx="5">
                  <c:v>16000</c:v>
                </c:pt>
                <c:pt idx="6">
                  <c:v>16050</c:v>
                </c:pt>
                <c:pt idx="7">
                  <c:v>16000</c:v>
                </c:pt>
                <c:pt idx="8">
                  <c:v>15650</c:v>
                </c:pt>
                <c:pt idx="9">
                  <c:v>16750</c:v>
                </c:pt>
                <c:pt idx="10">
                  <c:v>17350</c:v>
                </c:pt>
                <c:pt idx="11">
                  <c:v>16250</c:v>
                </c:pt>
                <c:pt idx="12">
                  <c:v>16300</c:v>
                </c:pt>
              </c:numCache>
            </c:numRef>
          </c:val>
          <c:smooth val="0"/>
        </c:ser>
        <c:dLbls>
          <c:showLegendKey val="0"/>
          <c:showVal val="0"/>
          <c:showCatName val="0"/>
          <c:showSerName val="0"/>
          <c:showPercent val="0"/>
          <c:showBubbleSize val="0"/>
        </c:dLbls>
        <c:marker val="1"/>
        <c:smooth val="0"/>
        <c:axId val="254814119"/>
        <c:axId val="177047684"/>
      </c:lineChart>
      <c:dateAx>
        <c:axId val="25481411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7047684"/>
        <c:crosses val="autoZero"/>
        <c:auto val="1"/>
        <c:lblOffset val="100"/>
        <c:baseTimeUnit val="months"/>
      </c:dateAx>
      <c:valAx>
        <c:axId val="177047684"/>
        <c:scaling>
          <c:orientation val="minMax"/>
          <c:max val="25000"/>
          <c:min val="8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4814119"/>
        <c:crosses val="autoZero"/>
        <c:crossBetween val="between"/>
        <c:majorUnit val="1500"/>
        <c:minorUnit val="500"/>
      </c:valAx>
      <c:spPr>
        <a:noFill/>
        <a:ln>
          <a:noFill/>
        </a:ln>
        <a:effectLst/>
      </c:spPr>
    </c:plotArea>
    <c:legend>
      <c:legendPos val="b"/>
      <c:layout>
        <c:manualLayout>
          <c:xMode val="edge"/>
          <c:yMode val="edge"/>
          <c:x val="0.406016818666351"/>
          <c:y val="0.927287581699346"/>
          <c:w val="0.188084803979628"/>
          <c:h val="0.064542483660130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8f2b7bc-dd83-46ff-923a-f813aa8cdede}"/>
      </c:ext>
    </c:extLst>
  </c:chart>
  <c:spPr>
    <a:solidFill>
      <a:schemeClr val="bg1"/>
    </a:solidFill>
    <a:ln w="9525" cap="flat" cmpd="sng" algn="ctr">
      <a:solidFill>
        <a:schemeClr val="accent1"/>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榆林市焦油价格走势图</a:t>
            </a:r>
          </a:p>
        </c:rich>
      </c:tx>
      <c:layout/>
      <c:overlay val="0"/>
      <c:spPr>
        <a:noFill/>
        <a:ln>
          <a:noFill/>
        </a:ln>
        <a:effectLst/>
      </c:spPr>
    </c:title>
    <c:autoTitleDeleted val="0"/>
    <c:plotArea>
      <c:layout>
        <c:manualLayout>
          <c:layoutTarget val="inner"/>
          <c:xMode val="edge"/>
          <c:yMode val="edge"/>
          <c:x val="0.0767690875232775"/>
          <c:y val="0.167164179104478"/>
          <c:w val="0.901117318435754"/>
          <c:h val="0.426467661691542"/>
        </c:manualLayout>
      </c:layout>
      <c:lineChart>
        <c:grouping val="standard"/>
        <c:varyColors val="0"/>
        <c:ser>
          <c:idx val="0"/>
          <c:order val="0"/>
          <c:tx>
            <c:strRef>
              <c:f>[2025年7月份价格走势图.xlsx]Sheet1!$A$76:$B$76</c:f>
              <c:strCache>
                <c:ptCount val="1"/>
                <c:pt idx="0">
                  <c:v>焦油 元/吨</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numRef>
              <c:f>[2025年7月份价格走势图.xlsx]Sheet1!$C$75:$O$75</c:f>
              <c:numCache>
                <c:formatCode>yyyy"年"m"月"</c:formatCode>
                <c:ptCount val="13"/>
                <c:pt idx="0" c:formatCode="yyyy&quot;年&quot;m&quot;月&quot;">
                  <c:v>45474</c:v>
                </c:pt>
                <c:pt idx="1" c:formatCode="yyyy&quot;年&quot;m&quot;月&quot;">
                  <c:v>45505</c:v>
                </c:pt>
                <c:pt idx="2" c:formatCode="yyyy&quot;年&quot;m&quot;月&quot;">
                  <c:v>45536</c:v>
                </c:pt>
                <c:pt idx="3" c:formatCode="yyyy&quot;年&quot;m&quot;月&quot;">
                  <c:v>45566</c:v>
                </c:pt>
                <c:pt idx="4" c:formatCode="yyyy&quot;年&quot;m&quot;月&quot;">
                  <c:v>45597</c:v>
                </c:pt>
                <c:pt idx="5" c:formatCode="yyyy&quot;年&quot;m&quot;月&quot;">
                  <c:v>45627</c:v>
                </c:pt>
                <c:pt idx="6" c:formatCode="yyyy&quot;年&quot;m&quot;月&quot;">
                  <c:v>45658</c:v>
                </c:pt>
                <c:pt idx="7" c:formatCode="yyyy&quot;年&quot;m&quot;月&quot;">
                  <c:v>45689</c:v>
                </c:pt>
                <c:pt idx="8" c:formatCode="yyyy&quot;年&quot;m&quot;月&quot;">
                  <c:v>45717</c:v>
                </c:pt>
                <c:pt idx="9" c:formatCode="yyyy&quot;年&quot;m&quot;月&quot;">
                  <c:v>45748</c:v>
                </c:pt>
                <c:pt idx="10" c:formatCode="yyyy&quot;年&quot;m&quot;月&quot;">
                  <c:v>45778</c:v>
                </c:pt>
                <c:pt idx="11" c:formatCode="yyyy&quot;年&quot;m&quot;月&quot;">
                  <c:v>45809</c:v>
                </c:pt>
                <c:pt idx="12" c:formatCode="yyyy&quot;年&quot;m&quot;月&quot;">
                  <c:v>45839</c:v>
                </c:pt>
              </c:numCache>
            </c:numRef>
          </c:cat>
          <c:val>
            <c:numRef>
              <c:f>[2025年7月份价格走势图.xlsx]Sheet1!$C$76:$O$76</c:f>
              <c:numCache>
                <c:formatCode>General</c:formatCode>
                <c:ptCount val="13"/>
                <c:pt idx="0">
                  <c:v>3200</c:v>
                </c:pt>
                <c:pt idx="1">
                  <c:v>3150</c:v>
                </c:pt>
                <c:pt idx="2">
                  <c:v>2950</c:v>
                </c:pt>
                <c:pt idx="3">
                  <c:v>2960</c:v>
                </c:pt>
                <c:pt idx="4">
                  <c:v>3060</c:v>
                </c:pt>
                <c:pt idx="5">
                  <c:v>2910</c:v>
                </c:pt>
                <c:pt idx="6">
                  <c:v>2870</c:v>
                </c:pt>
                <c:pt idx="7">
                  <c:v>2870</c:v>
                </c:pt>
                <c:pt idx="8">
                  <c:v>2820</c:v>
                </c:pt>
                <c:pt idx="9">
                  <c:v>2820</c:v>
                </c:pt>
                <c:pt idx="10">
                  <c:v>2770</c:v>
                </c:pt>
                <c:pt idx="11">
                  <c:v>2870</c:v>
                </c:pt>
                <c:pt idx="12">
                  <c:v>2770</c:v>
                </c:pt>
              </c:numCache>
            </c:numRef>
          </c:val>
          <c:smooth val="0"/>
        </c:ser>
        <c:dLbls>
          <c:showLegendKey val="0"/>
          <c:showVal val="0"/>
          <c:showCatName val="0"/>
          <c:showSerName val="0"/>
          <c:showPercent val="0"/>
          <c:showBubbleSize val="0"/>
        </c:dLbls>
        <c:marker val="1"/>
        <c:smooth val="0"/>
        <c:axId val="156803843"/>
        <c:axId val="879179838"/>
      </c:lineChart>
      <c:dateAx>
        <c:axId val="156803843"/>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9179838"/>
        <c:crosses val="autoZero"/>
        <c:auto val="1"/>
        <c:lblOffset val="100"/>
        <c:baseTimeUnit val="months"/>
      </c:dateAx>
      <c:valAx>
        <c:axId val="879179838"/>
        <c:scaling>
          <c:orientation val="minMax"/>
          <c:max val="5000"/>
          <c:min val="1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6803843"/>
        <c:crosses val="autoZero"/>
        <c:crossBetween val="between"/>
      </c:valAx>
      <c:spPr>
        <a:noFill/>
        <a:ln>
          <a:noFill/>
        </a:ln>
        <a:effectLst/>
      </c:spPr>
    </c:plotArea>
    <c:legend>
      <c:legendPos val="b"/>
      <c:layout>
        <c:manualLayout>
          <c:xMode val="edge"/>
          <c:yMode val="edge"/>
          <c:x val="0.418082383057947"/>
          <c:y val="0.902053712480253"/>
          <c:w val="0.163835233884105"/>
          <c:h val="0.067298578199052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5d6a1fd-7aa7-4ed4-bdbe-d837f363ea4b}"/>
      </c:ext>
    </c:extLst>
  </c:chart>
  <c:spPr>
    <a:solidFill>
      <a:schemeClr val="bg1"/>
    </a:solidFill>
    <a:ln w="9525" cap="flat" cmpd="sng" algn="ctr">
      <a:solidFill>
        <a:schemeClr val="accent1"/>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榆林市电石价格走势图</a:t>
            </a:r>
          </a:p>
        </c:rich>
      </c:tx>
      <c:layout/>
      <c:overlay val="0"/>
      <c:spPr>
        <a:noFill/>
        <a:ln>
          <a:noFill/>
        </a:ln>
        <a:effectLst/>
      </c:spPr>
    </c:title>
    <c:autoTitleDeleted val="0"/>
    <c:plotArea>
      <c:layout/>
      <c:lineChart>
        <c:grouping val="standard"/>
        <c:varyColors val="0"/>
        <c:ser>
          <c:idx val="0"/>
          <c:order val="0"/>
          <c:tx>
            <c:strRef>
              <c:f>[2025年7月份价格走势图.xlsx]Sheet1!$A$87:$B$87</c:f>
              <c:strCache>
                <c:ptCount val="1"/>
                <c:pt idx="0">
                  <c:v>电石 元/吨</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numRef>
              <c:f>[2025年7月份价格走势图.xlsx]Sheet1!$C$86:$P$86</c:f>
              <c:numCache>
                <c:formatCode>yyyy"年"m"月"</c:formatCode>
                <c:ptCount val="14"/>
                <c:pt idx="0" c:formatCode="yyyy&quot;年&quot;m&quot;月&quot;">
                  <c:v>45474</c:v>
                </c:pt>
                <c:pt idx="1" c:formatCode="yyyy&quot;年&quot;m&quot;月&quot;">
                  <c:v>45505</c:v>
                </c:pt>
                <c:pt idx="2" c:formatCode="yyyy&quot;年&quot;m&quot;月&quot;">
                  <c:v>45536</c:v>
                </c:pt>
                <c:pt idx="3" c:formatCode="yyyy&quot;年&quot;m&quot;月&quot;">
                  <c:v>45566</c:v>
                </c:pt>
                <c:pt idx="4" c:formatCode="yyyy&quot;年&quot;m&quot;月&quot;">
                  <c:v>45597</c:v>
                </c:pt>
                <c:pt idx="5" c:formatCode="yyyy&quot;年&quot;m&quot;月&quot;">
                  <c:v>45627</c:v>
                </c:pt>
                <c:pt idx="6" c:formatCode="yyyy&quot;年&quot;m&quot;月&quot;">
                  <c:v>45658</c:v>
                </c:pt>
                <c:pt idx="7" c:formatCode="yyyy&quot;年&quot;m&quot;月&quot;">
                  <c:v>45689</c:v>
                </c:pt>
                <c:pt idx="8" c:formatCode="yyyy&quot;年&quot;m&quot;月&quot;">
                  <c:v>45717</c:v>
                </c:pt>
                <c:pt idx="9" c:formatCode="yyyy&quot;年&quot;m&quot;月&quot;">
                  <c:v>45748</c:v>
                </c:pt>
                <c:pt idx="10" c:formatCode="yyyy&quot;年&quot;m&quot;月&quot;">
                  <c:v>45778</c:v>
                </c:pt>
                <c:pt idx="11" c:formatCode="yyyy&quot;年&quot;m&quot;月&quot;">
                  <c:v>45809</c:v>
                </c:pt>
                <c:pt idx="12" c:formatCode="yyyy&quot;年&quot;m&quot;月&quot;">
                  <c:v>45839</c:v>
                </c:pt>
              </c:numCache>
            </c:numRef>
          </c:cat>
          <c:val>
            <c:numRef>
              <c:f>[2025年7月份价格走势图.xlsx]Sheet1!$C$87:$P$87</c:f>
              <c:numCache>
                <c:formatCode>General</c:formatCode>
                <c:ptCount val="14"/>
                <c:pt idx="0">
                  <c:v>2700</c:v>
                </c:pt>
                <c:pt idx="1">
                  <c:v>2650</c:v>
                </c:pt>
                <c:pt idx="2">
                  <c:v>2700</c:v>
                </c:pt>
                <c:pt idx="3">
                  <c:v>2900</c:v>
                </c:pt>
                <c:pt idx="4">
                  <c:v>2800</c:v>
                </c:pt>
                <c:pt idx="5">
                  <c:v>2850</c:v>
                </c:pt>
                <c:pt idx="6">
                  <c:v>2700</c:v>
                </c:pt>
                <c:pt idx="7">
                  <c:v>2600</c:v>
                </c:pt>
                <c:pt idx="8">
                  <c:v>2700</c:v>
                </c:pt>
                <c:pt idx="9">
                  <c:v>2650</c:v>
                </c:pt>
                <c:pt idx="10">
                  <c:v>2600</c:v>
                </c:pt>
                <c:pt idx="11">
                  <c:v>2450</c:v>
                </c:pt>
                <c:pt idx="12">
                  <c:v>2400</c:v>
                </c:pt>
              </c:numCache>
            </c:numRef>
          </c:val>
          <c:smooth val="0"/>
        </c:ser>
        <c:dLbls>
          <c:showLegendKey val="0"/>
          <c:showVal val="0"/>
          <c:showCatName val="0"/>
          <c:showSerName val="0"/>
          <c:showPercent val="0"/>
          <c:showBubbleSize val="0"/>
        </c:dLbls>
        <c:marker val="1"/>
        <c:smooth val="0"/>
        <c:axId val="10979859"/>
        <c:axId val="196077003"/>
      </c:lineChart>
      <c:dateAx>
        <c:axId val="1097985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6077003"/>
        <c:crosses val="autoZero"/>
        <c:auto val="1"/>
        <c:lblOffset val="100"/>
        <c:baseTimeUnit val="months"/>
      </c:dateAx>
      <c:valAx>
        <c:axId val="196077003"/>
        <c:scaling>
          <c:orientation val="minMax"/>
          <c:max val="4000"/>
          <c:min val="2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979859"/>
        <c:crosses val="autoZero"/>
        <c:crossBetween val="between"/>
        <c:majorUnit val="200"/>
        <c:minorUnit val="50"/>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b0b02c7-32f2-45e4-93fc-5556f6c75349}"/>
      </c:ext>
    </c:extLst>
  </c:chart>
  <c:spPr>
    <a:solidFill>
      <a:schemeClr val="bg1"/>
    </a:solidFill>
    <a:ln w="9525" cap="flat" cmpd="sng" algn="ctr">
      <a:solidFill>
        <a:schemeClr val="accent1"/>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4432</Words>
  <Characters>4801</Characters>
  <Lines>196</Lines>
  <Paragraphs>118</Paragraphs>
  <TotalTime>60</TotalTime>
  <ScaleCrop>false</ScaleCrop>
  <LinksUpToDate>false</LinksUpToDate>
  <CharactersWithSpaces>4808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2025-06-08T08:50:00Z</dcterms:created>
  <dc:creator>g'j'j</dc:creator>
  <cp:lastModifiedBy>高健钧</cp:lastModifiedBy>
  <cp:lastPrinted>2025-08-01T10:03:00Z</cp:lastPrinted>
  <dcterms:modified xsi:type="dcterms:W3CDTF">2025-08-08T03:28:54Z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4D126F22DCB24486A0C15BAF07633CAF_13</vt:lpwstr>
  </property>
  <property fmtid="{D5CDD505-2E9C-101B-9397-08002B2CF9AE}" pid="4" name="KSOTemplateDocerSaveRecord">
    <vt:lpwstr>eyJoZGlkIjoiOGIyNjg3MTUzZmNhM2ZjOTM2YmVlMjRiY2Y1YWFjMjAiLCJ1c2VySWQiOiIzNDQ4MDkyMDUifQ==</vt:lpwstr>
  </property>
</Properties>
</file>